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jc w:val="center"/>
        <w:rPr>
          <w:b/>
        </w:rPr>
      </w:pPr>
      <w:r>
        <w:rPr>
          <w:b/>
        </w:rPr>
        <w:t xml:space="preserve">PROCESO DE GESTIÓN DE FORMACIÓN PROFESIONAL INTEGRAL </w:t>
      </w:r>
    </w:p>
    <w:p>
      <w:pPr>
        <w:spacing w:after="0" w:line="360" w:lineRule="auto"/>
        <w:jc w:val="center"/>
        <w:rPr>
          <w:b/>
          <w:color w:val="FF0000"/>
        </w:rPr>
      </w:pPr>
      <w:r>
        <w:rPr>
          <w:b/>
        </w:rPr>
        <w:t>FORMATO GUÍA DE APRENDIZAJE</w:t>
      </w:r>
    </w:p>
    <w:p>
      <w:pPr>
        <w:rPr>
          <w:b/>
          <w:color w:val="000000" w:themeColor="text1"/>
          <w14:textFill>
            <w14:solidFill>
              <w14:schemeClr w14:val="tx1"/>
            </w14:solidFill>
          </w14:textFill>
        </w:rPr>
      </w:pPr>
    </w:p>
    <w:p>
      <w:pPr>
        <w:jc w:val="both"/>
        <w:rPr>
          <w:rFonts w:ascii="Arial" w:hAnsi="Arial" w:cs="Arial"/>
          <w:b/>
          <w:sz w:val="20"/>
          <w:szCs w:val="20"/>
        </w:rPr>
      </w:pPr>
      <w:r>
        <w:rPr>
          <w:rFonts w:ascii="Arial" w:hAnsi="Arial" w:cs="Arial"/>
          <w:b/>
          <w:sz w:val="20"/>
          <w:szCs w:val="20"/>
        </w:rPr>
        <w:t>IDENTIFICACIÓN DE LA GUIA DE APRENDIZAJE</w:t>
      </w:r>
    </w:p>
    <w:p>
      <w:pPr>
        <w:jc w:val="both"/>
        <w:rPr>
          <w:rFonts w:ascii="Arial" w:hAnsi="Arial" w:cs="Arial"/>
          <w:sz w:val="20"/>
          <w:szCs w:val="20"/>
        </w:rPr>
      </w:pP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color w:val="000000"/>
          <w:sz w:val="20"/>
          <w:szCs w:val="20"/>
        </w:rPr>
      </w:pPr>
      <w:r>
        <w:rPr>
          <w:rFonts w:ascii="Arial" w:hAnsi="Arial" w:cs="Arial"/>
          <w:sz w:val="20"/>
          <w:szCs w:val="20"/>
        </w:rPr>
        <w:t>Denominación del Programa de Formación:</w:t>
      </w:r>
      <w:r>
        <w:rPr>
          <w:color w:val="000000"/>
          <w:sz w:val="20"/>
          <w:szCs w:val="20"/>
        </w:rPr>
        <w:t xml:space="preserve"> : Ejercicio Derechos Fundamentales en el Trabajo</w:t>
      </w:r>
    </w:p>
    <w:p>
      <w:pPr>
        <w:pStyle w:val="30"/>
        <w:numPr>
          <w:ilvl w:val="0"/>
          <w:numId w:val="2"/>
        </w:numPr>
        <w:jc w:val="both"/>
        <w:rPr>
          <w:rFonts w:ascii="Arial" w:hAnsi="Arial" w:cs="Arial"/>
          <w:sz w:val="20"/>
          <w:szCs w:val="20"/>
        </w:rPr>
      </w:pPr>
      <w:r>
        <w:rPr>
          <w:rFonts w:ascii="Arial" w:hAnsi="Arial" w:cs="Arial"/>
          <w:sz w:val="20"/>
          <w:szCs w:val="20"/>
        </w:rPr>
        <w:t>Código del Programa de Formación:</w:t>
      </w:r>
      <w:r>
        <w:rPr>
          <w:color w:val="000000"/>
          <w:sz w:val="20"/>
          <w:szCs w:val="20"/>
        </w:rPr>
        <w:t xml:space="preserve"> 42110153 V2</w:t>
      </w:r>
    </w:p>
    <w:p>
      <w:pPr>
        <w:pStyle w:val="30"/>
        <w:numPr>
          <w:ilvl w:val="0"/>
          <w:numId w:val="2"/>
        </w:numPr>
        <w:jc w:val="both"/>
        <w:rPr>
          <w:rFonts w:ascii="Arial" w:hAnsi="Arial" w:cs="Arial"/>
          <w:sz w:val="20"/>
          <w:szCs w:val="20"/>
        </w:rPr>
      </w:pPr>
      <w:r>
        <w:rPr>
          <w:rFonts w:ascii="Arial" w:hAnsi="Arial" w:cs="Arial"/>
          <w:sz w:val="20"/>
          <w:szCs w:val="20"/>
        </w:rPr>
        <w:t>Nombre del Proyecto ( si es formación Titulada)</w:t>
      </w:r>
    </w:p>
    <w:p>
      <w:pPr>
        <w:pStyle w:val="30"/>
        <w:numPr>
          <w:ilvl w:val="0"/>
          <w:numId w:val="2"/>
        </w:numPr>
        <w:jc w:val="both"/>
        <w:rPr>
          <w:rFonts w:ascii="Arial" w:hAnsi="Arial" w:cs="Arial"/>
          <w:sz w:val="20"/>
          <w:szCs w:val="20"/>
        </w:rPr>
      </w:pPr>
      <w:r>
        <w:rPr>
          <w:rFonts w:ascii="Arial" w:hAnsi="Arial" w:cs="Arial"/>
          <w:sz w:val="20"/>
          <w:szCs w:val="20"/>
        </w:rPr>
        <w:t>Fase del Proyecto ( si es  formación Titulada)</w:t>
      </w:r>
    </w:p>
    <w:p>
      <w:pPr>
        <w:pStyle w:val="30"/>
        <w:numPr>
          <w:ilvl w:val="0"/>
          <w:numId w:val="2"/>
        </w:numPr>
        <w:jc w:val="both"/>
        <w:rPr>
          <w:rFonts w:ascii="Arial" w:hAnsi="Arial" w:cs="Arial"/>
          <w:sz w:val="20"/>
          <w:szCs w:val="20"/>
        </w:rPr>
      </w:pPr>
      <w:r>
        <w:rPr>
          <w:rFonts w:ascii="Arial" w:hAnsi="Arial" w:cs="Arial"/>
          <w:sz w:val="20"/>
          <w:szCs w:val="20"/>
        </w:rPr>
        <w:t>Actividad de Proyecto(si es  formación Titulada)</w:t>
      </w:r>
    </w:p>
    <w:p>
      <w:pPr>
        <w:pStyle w:val="30"/>
        <w:numPr>
          <w:ilvl w:val="0"/>
          <w:numId w:val="2"/>
        </w:numPr>
        <w:jc w:val="both"/>
        <w:rPr>
          <w:rFonts w:ascii="Arial" w:hAnsi="Arial" w:cs="Arial"/>
          <w:sz w:val="20"/>
          <w:szCs w:val="20"/>
        </w:rPr>
      </w:pPr>
      <w:r>
        <w:rPr>
          <w:rFonts w:ascii="Arial" w:hAnsi="Arial" w:cs="Arial"/>
          <w:sz w:val="20"/>
          <w:szCs w:val="20"/>
        </w:rPr>
        <w:t xml:space="preserve">Competencia: </w:t>
      </w:r>
      <w:r>
        <w:rPr>
          <w:color w:val="000000"/>
          <w:sz w:val="20"/>
          <w:szCs w:val="20"/>
        </w:rPr>
        <w:t>210201501 Ejercer Derechos fundamentales en el marco de la Constitución política y los convenios internacionales.</w:t>
      </w:r>
    </w:p>
    <w:p>
      <w:pPr>
        <w:pStyle w:val="30"/>
        <w:numPr>
          <w:ilvl w:val="0"/>
          <w:numId w:val="2"/>
        </w:numPr>
        <w:jc w:val="both"/>
        <w:rPr>
          <w:rFonts w:ascii="Arial" w:hAnsi="Arial" w:cs="Arial"/>
          <w:sz w:val="20"/>
          <w:szCs w:val="20"/>
        </w:rPr>
      </w:pPr>
      <w:r>
        <w:rPr>
          <w:rFonts w:ascii="Arial" w:hAnsi="Arial" w:cs="Arial"/>
          <w:sz w:val="20"/>
          <w:szCs w:val="20"/>
        </w:rPr>
        <w:t>Resultados de Aprendizaje Alcanzar:</w:t>
      </w:r>
      <w:r>
        <w:rPr>
          <w:sz w:val="20"/>
          <w:szCs w:val="20"/>
        </w:rPr>
        <w:t xml:space="preserve"> 21020150104 </w:t>
      </w:r>
      <w:r>
        <w:rPr>
          <w:color w:val="000000"/>
          <w:sz w:val="20"/>
          <w:szCs w:val="20"/>
        </w:rPr>
        <w:t>Participar en acciones solidarias teniendo en cuenta el ejercicio de los derechos humanos, de los pueblos y de la naturaleza.</w:t>
      </w:r>
    </w:p>
    <w:p>
      <w:pPr>
        <w:pStyle w:val="30"/>
        <w:numPr>
          <w:ilvl w:val="0"/>
          <w:numId w:val="2"/>
        </w:numPr>
        <w:jc w:val="both"/>
        <w:rPr>
          <w:rFonts w:ascii="Arial" w:hAnsi="Arial" w:cs="Arial"/>
          <w:sz w:val="20"/>
          <w:szCs w:val="20"/>
        </w:rPr>
      </w:pPr>
      <w:r>
        <w:rPr>
          <w:rFonts w:ascii="Arial" w:hAnsi="Arial" w:cs="Arial"/>
          <w:sz w:val="20"/>
          <w:szCs w:val="20"/>
        </w:rPr>
        <w:t>Duración de la Guía: 8 H</w:t>
      </w:r>
    </w:p>
    <w:p>
      <w:pPr>
        <w:ind w:left="360"/>
        <w:jc w:val="both"/>
        <w:rPr>
          <w:rFonts w:ascii="Arial" w:hAnsi="Arial" w:cs="Arial"/>
          <w:sz w:val="20"/>
          <w:szCs w:val="20"/>
        </w:rPr>
      </w:pPr>
    </w:p>
    <w:p>
      <w:pPr>
        <w:tabs>
          <w:tab w:val="left" w:pos="4320"/>
          <w:tab w:val="left" w:pos="4485"/>
          <w:tab w:val="left" w:pos="5445"/>
        </w:tabs>
        <w:jc w:val="both"/>
        <w:rPr>
          <w:rFonts w:ascii="Arial" w:hAnsi="Arial" w:cs="Arial"/>
          <w:b/>
          <w:sz w:val="20"/>
          <w:szCs w:val="20"/>
        </w:rPr>
      </w:pPr>
      <w:r>
        <w:rPr>
          <w:rFonts w:ascii="Arial" w:hAnsi="Arial" w:cs="Arial"/>
          <w:b/>
          <w:sz w:val="20"/>
          <w:szCs w:val="20"/>
        </w:rPr>
        <w:t>2. PRESENTACIÓN</w:t>
      </w:r>
    </w:p>
    <w:p>
      <w:pPr>
        <w:tabs>
          <w:tab w:val="left" w:pos="3828"/>
        </w:tabs>
        <w:spacing w:line="240" w:lineRule="auto"/>
        <w:jc w:val="both"/>
        <w:rPr>
          <w:sz w:val="20"/>
          <w:szCs w:val="20"/>
        </w:rPr>
      </w:pPr>
      <w:r>
        <w:rPr>
          <w:sz w:val="20"/>
          <w:szCs w:val="20"/>
        </w:rPr>
        <w:t xml:space="preserve">Apreciado participante, en el desarrollo de esta guía de aprendizaje usted logra comprender la importancia  de  las acciones e instituciones encargadas de la protección de los derechos del trabajo, los pueblos y la naturaleza, en el contexto territorial específico y a nivel nacional. </w:t>
      </w:r>
    </w:p>
    <w:p>
      <w:pPr>
        <w:tabs>
          <w:tab w:val="left" w:pos="3828"/>
        </w:tabs>
        <w:spacing w:line="240" w:lineRule="auto"/>
        <w:jc w:val="both"/>
        <w:rPr>
          <w:sz w:val="20"/>
          <w:szCs w:val="20"/>
        </w:rPr>
      </w:pPr>
      <w:r>
        <w:rPr>
          <w:sz w:val="20"/>
          <w:szCs w:val="20"/>
        </w:rPr>
        <w:t>Esta guía pretende ofrecer herramientas para la práctica solidaria y de los mecanismos para hacer exigibles los derechos fundamentales. Su énfasis se centrará en la formación para el acceso a la justicia y el activismo judicial territorial, como herramientas óptimas para alcanzar la materialización de las promesas del Estado Social de Derecho y la Constitución política de 1991, promoviendo el acceso a instituciones locales y el uso de las facilidades tecnológicas.</w:t>
      </w:r>
    </w:p>
    <w:p>
      <w:pPr>
        <w:spacing w:after="0" w:line="240" w:lineRule="auto"/>
        <w:jc w:val="both"/>
        <w:rPr>
          <w:sz w:val="20"/>
          <w:szCs w:val="20"/>
          <w:highlight w:val="white"/>
        </w:rPr>
      </w:pPr>
      <w:r>
        <w:rPr>
          <w:sz w:val="20"/>
          <w:szCs w:val="20"/>
          <w:highlight w:val="white"/>
        </w:rPr>
        <w:t>El derecho de los Pueblos y la Solidaridad, promovido a partir de los ochenta para incentivar el progreso social y elevar el nivel de vida de todos los pueblos, se relaciona con:</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 la autodeterminación</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 la independencia económica y política</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 la identidad nacional y cultural</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 la paz</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 la coexistencia pacífica</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Derecho al entendimiento y confianza</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La cooperación internacional y regional</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La justicia internacional</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El uso de los avances de las ciencias y la tecnología</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La solución de los problemas alimenticios, demográficos, educativos y ecológicos</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El medio ambiente</w:t>
      </w:r>
    </w:p>
    <w:p>
      <w:pPr>
        <w:numPr>
          <w:ilvl w:val="0"/>
          <w:numId w:val="3"/>
        </w:numPr>
        <w:tabs>
          <w:tab w:val="left" w:pos="4320"/>
          <w:tab w:val="left" w:pos="4485"/>
          <w:tab w:val="left" w:pos="5445"/>
        </w:tabs>
        <w:spacing w:after="0" w:line="240" w:lineRule="auto"/>
        <w:jc w:val="both"/>
        <w:rPr>
          <w:sz w:val="20"/>
          <w:szCs w:val="20"/>
          <w:highlight w:val="white"/>
        </w:rPr>
      </w:pPr>
      <w:r>
        <w:rPr>
          <w:sz w:val="20"/>
          <w:szCs w:val="20"/>
          <w:highlight w:val="white"/>
        </w:rPr>
        <w:t>El desarrollo que permita una vida digna.</w:t>
      </w:r>
    </w:p>
    <w:p>
      <w:pPr>
        <w:numPr>
          <w:ilvl w:val="0"/>
          <w:numId w:val="3"/>
        </w:numPr>
        <w:tabs>
          <w:tab w:val="left" w:pos="4320"/>
          <w:tab w:val="left" w:pos="4485"/>
          <w:tab w:val="left" w:pos="5445"/>
        </w:tabs>
        <w:spacing w:after="0" w:line="240" w:lineRule="auto"/>
        <w:jc w:val="both"/>
        <w:rPr>
          <w:color w:val="252525"/>
          <w:sz w:val="20"/>
          <w:szCs w:val="20"/>
          <w:highlight w:val="white"/>
        </w:rPr>
      </w:pPr>
      <w:r>
        <w:rPr>
          <w:color w:val="252525"/>
          <w:sz w:val="20"/>
          <w:szCs w:val="20"/>
          <w:highlight w:val="white"/>
        </w:rPr>
        <w:t>Los derechos del consumidor.</w:t>
      </w:r>
    </w:p>
    <w:p>
      <w:pPr>
        <w:numPr>
          <w:ilvl w:val="0"/>
          <w:numId w:val="3"/>
        </w:numPr>
        <w:tabs>
          <w:tab w:val="left" w:pos="4320"/>
          <w:tab w:val="left" w:pos="4485"/>
          <w:tab w:val="left" w:pos="5445"/>
        </w:tabs>
        <w:spacing w:after="20" w:line="240" w:lineRule="auto"/>
        <w:jc w:val="both"/>
        <w:rPr>
          <w:color w:val="252525"/>
          <w:sz w:val="20"/>
          <w:szCs w:val="20"/>
          <w:highlight w:val="white"/>
        </w:rPr>
      </w:pPr>
      <w:r>
        <w:rPr>
          <w:color w:val="252525"/>
          <w:sz w:val="20"/>
          <w:szCs w:val="20"/>
          <w:highlight w:val="white"/>
        </w:rPr>
        <w:t>El libre desarrollo de la personalidad.</w:t>
      </w:r>
    </w:p>
    <w:p>
      <w:pPr>
        <w:tabs>
          <w:tab w:val="left" w:pos="4320"/>
          <w:tab w:val="left" w:pos="4485"/>
          <w:tab w:val="left" w:pos="5445"/>
        </w:tabs>
        <w:spacing w:line="240" w:lineRule="auto"/>
        <w:jc w:val="both"/>
        <w:rPr>
          <w:rFonts w:ascii="Arial" w:hAnsi="Arial" w:cs="Arial"/>
          <w:i/>
          <w:sz w:val="20"/>
          <w:szCs w:val="20"/>
          <w:lang w:val="es-MX"/>
        </w:rPr>
      </w:pPr>
    </w:p>
    <w:p>
      <w:pPr>
        <w:tabs>
          <w:tab w:val="left" w:pos="4320"/>
          <w:tab w:val="left" w:pos="4485"/>
          <w:tab w:val="left" w:pos="5445"/>
        </w:tabs>
        <w:jc w:val="both"/>
        <w:rPr>
          <w:rFonts w:ascii="Arial" w:hAnsi="Arial" w:cs="Arial"/>
          <w:b/>
          <w:sz w:val="20"/>
          <w:szCs w:val="20"/>
          <w:lang w:val="es-MX"/>
        </w:rPr>
      </w:pPr>
      <w:r>
        <w:rPr>
          <w:rFonts w:ascii="Arial" w:hAnsi="Arial" w:cs="Arial"/>
          <w:b/>
          <w:sz w:val="20"/>
          <w:szCs w:val="20"/>
          <w:lang w:val="es-MX"/>
        </w:rPr>
        <w:t>3.  FORMULACIÓN DE LAS ACTIVIDADES DE APRENDIZAJE</w:t>
      </w:r>
    </w:p>
    <w:p>
      <w:pPr>
        <w:tabs>
          <w:tab w:val="left" w:pos="4320"/>
          <w:tab w:val="left" w:pos="4485"/>
          <w:tab w:val="left" w:pos="5445"/>
        </w:tabs>
        <w:jc w:val="both"/>
        <w:rPr>
          <w:rFonts w:ascii="Arial" w:hAnsi="Arial" w:cs="Arial"/>
          <w:b/>
          <w:sz w:val="20"/>
          <w:szCs w:val="20"/>
          <w:lang w:val="es-MX"/>
        </w:rPr>
      </w:pPr>
    </w:p>
    <w:p>
      <w:pPr>
        <w:spacing w:after="0" w:line="240" w:lineRule="auto"/>
        <w:jc w:val="both"/>
        <w:rPr>
          <w:color w:val="000000"/>
          <w:sz w:val="20"/>
          <w:szCs w:val="20"/>
        </w:rPr>
      </w:pPr>
      <w:r>
        <w:rPr>
          <w:color w:val="000000"/>
          <w:sz w:val="20"/>
          <w:szCs w:val="20"/>
        </w:rPr>
        <w:t>Revise el documento</w:t>
      </w:r>
      <w:r>
        <w:rPr>
          <w:b/>
          <w:color w:val="000000"/>
          <w:sz w:val="20"/>
          <w:szCs w:val="20"/>
        </w:rPr>
        <w:t xml:space="preserve"> “El Estado Social de Derecho en Colombia” </w:t>
      </w:r>
      <w:r>
        <w:rPr>
          <w:color w:val="000000"/>
          <w:sz w:val="20"/>
          <w:szCs w:val="20"/>
        </w:rPr>
        <w:t>y resuelva las siguientes preguntas para analizarlas con los compañeros en plenaria:</w:t>
      </w:r>
    </w:p>
    <w:p>
      <w:pPr>
        <w:spacing w:after="0" w:line="240" w:lineRule="auto"/>
        <w:jc w:val="both"/>
        <w:rPr>
          <w:i/>
          <w:color w:val="000000"/>
          <w:sz w:val="20"/>
          <w:szCs w:val="20"/>
        </w:rPr>
      </w:pPr>
      <w:r>
        <w:rPr>
          <w:i/>
          <w:sz w:val="20"/>
          <w:szCs w:val="20"/>
        </w:rPr>
        <w:t>¿</w:t>
      </w:r>
      <w:r>
        <w:rPr>
          <w:i/>
          <w:color w:val="000000"/>
          <w:sz w:val="20"/>
          <w:szCs w:val="20"/>
        </w:rPr>
        <w:t>Cuál es el concepto de estado?</w:t>
      </w:r>
    </w:p>
    <w:p>
      <w:pPr>
        <w:spacing w:after="0" w:line="240" w:lineRule="auto"/>
        <w:jc w:val="both"/>
        <w:rPr>
          <w:i/>
          <w:color w:val="000000"/>
          <w:sz w:val="20"/>
          <w:szCs w:val="20"/>
        </w:rPr>
      </w:pPr>
      <w:r>
        <w:rPr>
          <w:i/>
          <w:sz w:val="20"/>
          <w:szCs w:val="20"/>
        </w:rPr>
        <w:t>¿</w:t>
      </w:r>
      <w:r>
        <w:rPr>
          <w:i/>
          <w:color w:val="000000"/>
          <w:sz w:val="20"/>
          <w:szCs w:val="20"/>
        </w:rPr>
        <w:t>Qué significa estado social?</w:t>
      </w:r>
    </w:p>
    <w:p>
      <w:pPr>
        <w:spacing w:after="0" w:line="240" w:lineRule="auto"/>
        <w:jc w:val="both"/>
        <w:rPr>
          <w:i/>
          <w:color w:val="000000"/>
          <w:sz w:val="20"/>
          <w:szCs w:val="20"/>
        </w:rPr>
      </w:pPr>
      <w:r>
        <w:rPr>
          <w:i/>
          <w:sz w:val="20"/>
          <w:szCs w:val="20"/>
        </w:rPr>
        <w:t>¿</w:t>
      </w:r>
      <w:r>
        <w:rPr>
          <w:i/>
          <w:color w:val="000000"/>
          <w:sz w:val="20"/>
          <w:szCs w:val="20"/>
        </w:rPr>
        <w:t>Cuáles son las características de un estado social de derecho?</w:t>
      </w:r>
    </w:p>
    <w:p>
      <w:pPr>
        <w:spacing w:after="0" w:line="240" w:lineRule="auto"/>
        <w:jc w:val="both"/>
        <w:rPr>
          <w:i/>
          <w:color w:val="000000"/>
          <w:sz w:val="20"/>
          <w:szCs w:val="20"/>
        </w:rPr>
      </w:pPr>
      <w:r>
        <w:rPr>
          <w:i/>
          <w:color w:val="000000"/>
          <w:sz w:val="20"/>
          <w:szCs w:val="20"/>
        </w:rPr>
        <w:t>Considera que en Colombia, ¿se cumplen las condiciones para ser un estado social de derecho? Explique su respuesta</w:t>
      </w:r>
    </w:p>
    <w:p>
      <w:pPr>
        <w:spacing w:after="0" w:line="240" w:lineRule="auto"/>
        <w:jc w:val="both"/>
        <w:rPr>
          <w:color w:val="000000"/>
          <w:sz w:val="20"/>
          <w:szCs w:val="20"/>
        </w:rPr>
      </w:pPr>
    </w:p>
    <w:p>
      <w:pPr>
        <w:spacing w:after="0" w:line="240" w:lineRule="auto"/>
        <w:jc w:val="both"/>
        <w:rPr>
          <w:color w:val="000000"/>
          <w:sz w:val="20"/>
          <w:szCs w:val="20"/>
        </w:rPr>
      </w:pPr>
      <w:r>
        <w:rPr>
          <w:color w:val="000000"/>
          <w:sz w:val="20"/>
          <w:szCs w:val="20"/>
        </w:rPr>
        <w:t>Atienda la exposición del instructor en relación con las entidades territoriales responsables de  la protección de los derechos de los pueblos, del trabajo y la naturaleza.</w:t>
      </w:r>
    </w:p>
    <w:p>
      <w:pPr>
        <w:spacing w:after="0" w:line="240" w:lineRule="auto"/>
        <w:jc w:val="both"/>
        <w:rPr>
          <w:color w:val="000000"/>
          <w:sz w:val="20"/>
          <w:szCs w:val="20"/>
        </w:rPr>
      </w:pPr>
    </w:p>
    <w:p>
      <w:pPr>
        <w:spacing w:after="0" w:line="240" w:lineRule="auto"/>
        <w:jc w:val="both"/>
        <w:rPr>
          <w:color w:val="000000"/>
          <w:sz w:val="20"/>
          <w:szCs w:val="20"/>
        </w:rPr>
      </w:pPr>
      <w:r>
        <w:rPr>
          <w:color w:val="000000"/>
          <w:sz w:val="20"/>
          <w:szCs w:val="20"/>
        </w:rPr>
        <w:t>Participe en el desarrollo de los ejercicios aplicados para el reconocimiento de las funciones de las entidades territoriales en función de la protección de los derechos de los pueblos, del trabajo y la naturaleza.</w:t>
      </w:r>
    </w:p>
    <w:p>
      <w:pPr>
        <w:spacing w:after="0" w:line="240" w:lineRule="auto"/>
        <w:jc w:val="both"/>
        <w:rPr>
          <w:color w:val="000000"/>
          <w:sz w:val="20"/>
          <w:szCs w:val="20"/>
        </w:rPr>
      </w:pPr>
    </w:p>
    <w:p>
      <w:pPr>
        <w:spacing w:after="0" w:line="240" w:lineRule="auto"/>
        <w:jc w:val="both"/>
        <w:rPr>
          <w:color w:val="000000"/>
          <w:sz w:val="20"/>
          <w:szCs w:val="20"/>
        </w:rPr>
      </w:pPr>
      <w:r>
        <w:rPr>
          <w:color w:val="000000"/>
          <w:sz w:val="20"/>
          <w:szCs w:val="20"/>
        </w:rPr>
        <w:t xml:space="preserve">Consulte el documento sobre </w:t>
      </w:r>
      <w:r>
        <w:rPr>
          <w:b/>
          <w:sz w:val="20"/>
          <w:szCs w:val="20"/>
        </w:rPr>
        <w:t>“Ac</w:t>
      </w:r>
      <w:r>
        <w:rPr>
          <w:b/>
          <w:color w:val="000000"/>
          <w:sz w:val="20"/>
          <w:szCs w:val="20"/>
        </w:rPr>
        <w:t>tivismo judicial territorial</w:t>
      </w:r>
      <w:r>
        <w:rPr>
          <w:b/>
          <w:sz w:val="20"/>
          <w:szCs w:val="20"/>
        </w:rPr>
        <w:t>”</w:t>
      </w:r>
      <w:r>
        <w:rPr>
          <w:b/>
          <w:color w:val="000000"/>
          <w:sz w:val="20"/>
          <w:szCs w:val="20"/>
        </w:rPr>
        <w:t xml:space="preserve"> </w:t>
      </w:r>
      <w:r>
        <w:rPr>
          <w:color w:val="000000"/>
          <w:sz w:val="20"/>
          <w:szCs w:val="20"/>
        </w:rPr>
        <w:t xml:space="preserve">y vea el video sobre </w:t>
      </w:r>
      <w:r>
        <w:rPr>
          <w:b/>
          <w:sz w:val="20"/>
          <w:szCs w:val="20"/>
        </w:rPr>
        <w:t>“</w:t>
      </w:r>
      <w:r>
        <w:rPr>
          <w:b/>
          <w:color w:val="000000"/>
          <w:sz w:val="20"/>
          <w:szCs w:val="20"/>
        </w:rPr>
        <w:t>Derechos de tercera generación</w:t>
      </w:r>
      <w:r>
        <w:rPr>
          <w:b/>
          <w:sz w:val="20"/>
          <w:szCs w:val="20"/>
        </w:rPr>
        <w:t>”</w:t>
      </w:r>
      <w:r>
        <w:rPr>
          <w:sz w:val="20"/>
          <w:szCs w:val="20"/>
        </w:rPr>
        <w:t>.</w:t>
      </w:r>
    </w:p>
    <w:p>
      <w:pPr>
        <w:spacing w:after="0" w:line="240" w:lineRule="auto"/>
        <w:jc w:val="both"/>
        <w:rPr>
          <w:color w:val="000000"/>
          <w:sz w:val="20"/>
          <w:szCs w:val="20"/>
        </w:rPr>
      </w:pPr>
    </w:p>
    <w:p>
      <w:pPr>
        <w:spacing w:after="0" w:line="240" w:lineRule="auto"/>
        <w:jc w:val="both"/>
        <w:rPr>
          <w:color w:val="000000"/>
          <w:sz w:val="20"/>
          <w:szCs w:val="20"/>
        </w:rPr>
      </w:pPr>
      <w:r>
        <w:rPr>
          <w:color w:val="000000"/>
          <w:sz w:val="20"/>
          <w:szCs w:val="20"/>
        </w:rPr>
        <w:t xml:space="preserve">Identifique un caso hipotético o real de vulneración de los derechos </w:t>
      </w:r>
      <w:r>
        <w:rPr>
          <w:sz w:val="20"/>
          <w:szCs w:val="20"/>
        </w:rPr>
        <w:t xml:space="preserve">en </w:t>
      </w:r>
      <w:r>
        <w:rPr>
          <w:color w:val="000000"/>
          <w:sz w:val="20"/>
          <w:szCs w:val="20"/>
        </w:rPr>
        <w:t xml:space="preserve">el trabajo, de los pueblos o de la naturaleza. A partir de los casos propuestos, establezca las instituciones que estarían encargadas de velar por la protección de estos derechos, proponga y elabore una acción pública orientada a la superación de la situación de vulnerabilidad y al restablecimiento del Derecho. </w:t>
      </w:r>
    </w:p>
    <w:p>
      <w:pPr>
        <w:spacing w:after="0"/>
        <w:jc w:val="both"/>
        <w:rPr>
          <w:sz w:val="20"/>
          <w:szCs w:val="20"/>
        </w:rPr>
      </w:pPr>
    </w:p>
    <w:p>
      <w:pPr>
        <w:spacing w:after="0"/>
        <w:jc w:val="both"/>
        <w:rPr>
          <w:b/>
          <w:sz w:val="20"/>
          <w:szCs w:val="20"/>
        </w:rPr>
      </w:pPr>
      <w:r>
        <w:rPr>
          <w:sz w:val="20"/>
          <w:szCs w:val="20"/>
        </w:rPr>
        <w:t xml:space="preserve">Participe del conversatorio de acuerdo con el mensaje del texto: </w:t>
      </w:r>
      <w:r>
        <w:rPr>
          <w:b/>
          <w:sz w:val="20"/>
          <w:szCs w:val="20"/>
        </w:rPr>
        <w:t>“Carta de jefe piel roja a presidente de los Estados Unidos”</w:t>
      </w:r>
      <w:r>
        <w:rPr>
          <w:sz w:val="20"/>
          <w:szCs w:val="20"/>
        </w:rPr>
        <w:t xml:space="preserve"> y el video Carl Sagan</w:t>
      </w:r>
      <w:r>
        <w:rPr>
          <w:b/>
          <w:sz w:val="20"/>
          <w:szCs w:val="20"/>
        </w:rPr>
        <w:t xml:space="preserve"> “</w:t>
      </w:r>
      <w:r>
        <w:fldChar w:fldCharType="begin"/>
      </w:r>
      <w:r>
        <w:instrText xml:space="preserve"> HYPERLINK "about:blank" \h </w:instrText>
      </w:r>
      <w:r>
        <w:fldChar w:fldCharType="separate"/>
      </w:r>
      <w:r>
        <w:rPr>
          <w:b/>
          <w:sz w:val="20"/>
          <w:szCs w:val="20"/>
        </w:rPr>
        <w:t>Cambio de mentalidad</w:t>
      </w:r>
      <w:r>
        <w:rPr>
          <w:b/>
          <w:sz w:val="20"/>
          <w:szCs w:val="20"/>
        </w:rPr>
        <w:fldChar w:fldCharType="end"/>
      </w:r>
      <w:r>
        <w:rPr>
          <w:b/>
          <w:sz w:val="20"/>
          <w:szCs w:val="20"/>
        </w:rPr>
        <w:t xml:space="preserve"> y Cambio climático” </w:t>
      </w:r>
      <w:r>
        <w:rPr>
          <w:sz w:val="20"/>
          <w:szCs w:val="20"/>
        </w:rPr>
        <w:t>con base en las siguientes preguntas</w:t>
      </w:r>
      <w:r>
        <w:rPr>
          <w:b/>
          <w:sz w:val="20"/>
          <w:szCs w:val="20"/>
        </w:rPr>
        <w:t>:</w:t>
      </w:r>
    </w:p>
    <w:p>
      <w:pPr>
        <w:spacing w:after="0"/>
        <w:jc w:val="both"/>
        <w:rPr>
          <w:sz w:val="20"/>
          <w:szCs w:val="20"/>
        </w:rPr>
      </w:pPr>
      <w:r>
        <w:rPr>
          <w:sz w:val="20"/>
          <w:szCs w:val="20"/>
        </w:rPr>
        <w:t xml:space="preserve"> </w:t>
      </w:r>
    </w:p>
    <w:p>
      <w:pPr>
        <w:spacing w:after="0"/>
        <w:jc w:val="both"/>
        <w:rPr>
          <w:i/>
          <w:sz w:val="20"/>
          <w:szCs w:val="20"/>
        </w:rPr>
      </w:pPr>
      <w:r>
        <w:rPr>
          <w:i/>
          <w:sz w:val="20"/>
          <w:szCs w:val="20"/>
        </w:rPr>
        <w:t>¿Cómo interactúa el derecho a un medio ambiente sano con los derechos individuales y sociales?</w:t>
      </w:r>
    </w:p>
    <w:p>
      <w:pPr>
        <w:spacing w:after="0"/>
        <w:jc w:val="both"/>
        <w:rPr>
          <w:i/>
          <w:sz w:val="20"/>
          <w:szCs w:val="20"/>
        </w:rPr>
      </w:pPr>
      <w:r>
        <w:rPr>
          <w:i/>
          <w:sz w:val="20"/>
          <w:szCs w:val="20"/>
        </w:rPr>
        <w:t>¿Por qué considera importante desarrollar una visión integral y global de los derechos humanos para evitar su distorsión?</w:t>
      </w:r>
    </w:p>
    <w:p>
      <w:pPr>
        <w:spacing w:after="0"/>
        <w:jc w:val="both"/>
        <w:rPr>
          <w:i/>
          <w:sz w:val="20"/>
          <w:szCs w:val="20"/>
        </w:rPr>
      </w:pPr>
      <w:r>
        <w:rPr>
          <w:i/>
          <w:sz w:val="20"/>
          <w:szCs w:val="20"/>
        </w:rPr>
        <w:t>¿Cuál es la incidencia del desarrollo sostenible en la conservación del medio ambiente y el planeta?</w:t>
      </w:r>
    </w:p>
    <w:p>
      <w:pPr>
        <w:spacing w:after="0"/>
        <w:jc w:val="both"/>
        <w:rPr>
          <w:i/>
          <w:sz w:val="20"/>
          <w:szCs w:val="20"/>
        </w:rPr>
      </w:pPr>
      <w:r>
        <w:rPr>
          <w:i/>
          <w:sz w:val="20"/>
          <w:szCs w:val="20"/>
        </w:rPr>
        <w:t>¿La naturaleza tiene derechos? ¿Cuáles y por qué?</w:t>
      </w:r>
    </w:p>
    <w:p>
      <w:pPr>
        <w:spacing w:after="0"/>
        <w:jc w:val="both"/>
        <w:rPr>
          <w:i/>
          <w:sz w:val="20"/>
          <w:szCs w:val="20"/>
        </w:rPr>
      </w:pPr>
      <w:r>
        <w:rPr>
          <w:i/>
          <w:sz w:val="20"/>
          <w:szCs w:val="20"/>
        </w:rPr>
        <w:t>¿Por qué y para qué la sociedad debe educarse en lo ambiental?</w:t>
      </w:r>
    </w:p>
    <w:p>
      <w:pPr>
        <w:spacing w:after="0"/>
        <w:jc w:val="both"/>
        <w:rPr>
          <w:i/>
          <w:sz w:val="20"/>
          <w:szCs w:val="20"/>
        </w:rPr>
      </w:pPr>
      <w:r>
        <w:rPr>
          <w:i/>
          <w:sz w:val="20"/>
          <w:szCs w:val="20"/>
        </w:rPr>
        <w:t>¿Por qué ser solidario facilita la construcción de la paz en un país?</w:t>
      </w:r>
    </w:p>
    <w:p>
      <w:pPr>
        <w:spacing w:after="0"/>
        <w:jc w:val="both"/>
        <w:rPr>
          <w:i/>
          <w:sz w:val="20"/>
          <w:szCs w:val="20"/>
        </w:rPr>
      </w:pPr>
      <w:r>
        <w:rPr>
          <w:i/>
          <w:sz w:val="20"/>
          <w:szCs w:val="20"/>
        </w:rPr>
        <w:t>¿Cuáles son las cualidades observables de la persona que contribuyen a la cultura de la paz?</w:t>
      </w:r>
    </w:p>
    <w:p>
      <w:pPr>
        <w:spacing w:after="0"/>
        <w:jc w:val="both"/>
        <w:rPr>
          <w:sz w:val="20"/>
          <w:szCs w:val="20"/>
          <w:highlight w:val="cyan"/>
        </w:rPr>
      </w:pPr>
    </w:p>
    <w:p>
      <w:pPr>
        <w:spacing w:after="0"/>
        <w:jc w:val="both"/>
        <w:rPr>
          <w:color w:val="000000"/>
          <w:sz w:val="20"/>
          <w:szCs w:val="20"/>
        </w:rPr>
      </w:pPr>
      <w:r>
        <w:rPr>
          <w:sz w:val="20"/>
          <w:szCs w:val="20"/>
        </w:rPr>
        <w:t xml:space="preserve">Con la participación de otros dos compañeros, analicen el video </w:t>
      </w:r>
      <w:r>
        <w:rPr>
          <w:b/>
          <w:sz w:val="20"/>
          <w:szCs w:val="20"/>
        </w:rPr>
        <w:t>“</w:t>
      </w:r>
      <w:r>
        <w:rPr>
          <w:b/>
          <w:i/>
          <w:sz w:val="20"/>
          <w:szCs w:val="20"/>
        </w:rPr>
        <w:t>Derecho a la solidaridad”</w:t>
      </w:r>
      <w:r>
        <w:rPr>
          <w:sz w:val="20"/>
          <w:szCs w:val="20"/>
        </w:rPr>
        <w:t xml:space="preserve"> </w:t>
      </w:r>
      <w:r>
        <w:rPr>
          <w:color w:val="000000"/>
          <w:sz w:val="20"/>
          <w:szCs w:val="20"/>
        </w:rPr>
        <w:t xml:space="preserve">y mediante consulta y una lluvia de ideas, identifiquen los problemas que se viven en </w:t>
      </w:r>
      <w:r>
        <w:rPr>
          <w:sz w:val="20"/>
          <w:szCs w:val="20"/>
        </w:rPr>
        <w:t>el</w:t>
      </w:r>
      <w:r>
        <w:rPr>
          <w:color w:val="000000"/>
          <w:sz w:val="20"/>
          <w:szCs w:val="20"/>
        </w:rPr>
        <w:t xml:space="preserve"> entorno social o familiar teniendo en cuenta los derechos relacionados en el recuadro inicial y las alternativas respectivas.  Preséntelos en una diapositiva para que en colectivo identifiquen acciones que permitan, de manera efectiva contribuir a la solución de las situaciones de vulnerabilidad de los derechos del trabajo los pueblos y la naturaleza en su territorio.</w:t>
      </w:r>
    </w:p>
    <w:p>
      <w:pPr>
        <w:spacing w:after="0"/>
        <w:jc w:val="both"/>
        <w:rPr>
          <w:color w:val="000000"/>
          <w:sz w:val="20"/>
          <w:szCs w:val="20"/>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r>
        <w:rPr>
          <w:rFonts w:ascii="Arial" w:hAnsi="Arial" w:cs="Arial"/>
          <w:b/>
          <w:color w:val="000000" w:themeColor="text1"/>
          <w:sz w:val="20"/>
          <w:szCs w:val="20"/>
          <w14:textFill>
            <w14:solidFill>
              <w14:schemeClr w14:val="tx1"/>
            </w14:solidFill>
          </w14:textFill>
        </w:rPr>
        <w:t>4. ACTIVIDADES DE EVALUACIÓN</w:t>
      </w: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Tome como referencia la técnica e instrumentos de evaluación citados en la guía de Desarrollo Curricular </w:t>
      </w:r>
    </w:p>
    <w:p>
      <w:pPr>
        <w:spacing w:after="0" w:line="240" w:lineRule="auto"/>
        <w:jc w:val="both"/>
        <w:rPr>
          <w:rFonts w:ascii="Arial" w:hAnsi="Arial" w:cs="Arial"/>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tbl>
      <w:tblPr>
        <w:tblStyle w:val="6"/>
        <w:tblW w:w="95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77"/>
        <w:gridCol w:w="3100"/>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3177" w:type="dxa"/>
            <w:shd w:val="clear" w:color="auto" w:fill="A6A6A6"/>
          </w:tcPr>
          <w:p>
            <w:pPr>
              <w:spacing w:after="0" w:line="240" w:lineRule="auto"/>
              <w:jc w:val="center"/>
              <w:rPr>
                <w:rFonts w:cs="Calibri"/>
                <w:b/>
                <w:sz w:val="20"/>
                <w:szCs w:val="20"/>
              </w:rPr>
            </w:pPr>
            <w:r>
              <w:rPr>
                <w:rFonts w:cs="Calibri"/>
                <w:b/>
                <w:sz w:val="20"/>
                <w:szCs w:val="20"/>
              </w:rPr>
              <w:t>Evidencias de Aprendizaje</w:t>
            </w:r>
          </w:p>
        </w:tc>
        <w:tc>
          <w:tcPr>
            <w:tcW w:w="3100" w:type="dxa"/>
            <w:shd w:val="clear" w:color="auto" w:fill="A6A6A6"/>
          </w:tcPr>
          <w:p>
            <w:pPr>
              <w:spacing w:after="0" w:line="240" w:lineRule="auto"/>
              <w:jc w:val="center"/>
              <w:rPr>
                <w:rFonts w:cs="Calibri"/>
                <w:b/>
                <w:sz w:val="20"/>
                <w:szCs w:val="20"/>
              </w:rPr>
            </w:pPr>
            <w:r>
              <w:rPr>
                <w:rFonts w:cs="Calibri"/>
                <w:b/>
                <w:sz w:val="20"/>
                <w:szCs w:val="20"/>
              </w:rPr>
              <w:t>Criterios de Evaluación</w:t>
            </w:r>
          </w:p>
        </w:tc>
        <w:tc>
          <w:tcPr>
            <w:tcW w:w="3260" w:type="dxa"/>
            <w:shd w:val="clear" w:color="auto" w:fill="A6A6A6"/>
          </w:tcPr>
          <w:p>
            <w:pPr>
              <w:spacing w:after="0" w:line="240" w:lineRule="auto"/>
              <w:jc w:val="center"/>
              <w:rPr>
                <w:rFonts w:cs="Calibri"/>
                <w:b/>
                <w:sz w:val="20"/>
                <w:szCs w:val="20"/>
              </w:rPr>
            </w:pPr>
            <w:r>
              <w:rPr>
                <w:rFonts w:cs="Calibri"/>
                <w:b/>
                <w:sz w:val="20"/>
                <w:szCs w:val="20"/>
              </w:rPr>
              <w:t>Técnicas e Instrumentos de Evaluación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0" w:hRule="atLeast"/>
          <w:jc w:val="center"/>
        </w:trPr>
        <w:tc>
          <w:tcPr>
            <w:tcW w:w="3177" w:type="dxa"/>
            <w:vMerge w:val="restart"/>
          </w:tcPr>
          <w:p>
            <w:pPr>
              <w:spacing w:after="0" w:line="240" w:lineRule="auto"/>
              <w:rPr>
                <w:rFonts w:cs="Calibri"/>
                <w:sz w:val="20"/>
                <w:szCs w:val="20"/>
              </w:rPr>
            </w:pPr>
            <w:r>
              <w:rPr>
                <w:rFonts w:cs="Calibri"/>
                <w:sz w:val="20"/>
                <w:szCs w:val="20"/>
              </w:rPr>
              <w:t>CONOCIMIENTO</w:t>
            </w:r>
          </w:p>
          <w:p>
            <w:pPr>
              <w:spacing w:after="0" w:line="240" w:lineRule="auto"/>
              <w:rPr>
                <w:rFonts w:cs="Calibri"/>
                <w:sz w:val="20"/>
                <w:szCs w:val="20"/>
              </w:rPr>
            </w:pPr>
            <w:r>
              <w:rPr>
                <w:rFonts w:cs="Calibri"/>
                <w:sz w:val="20"/>
                <w:szCs w:val="20"/>
              </w:rPr>
              <w:t xml:space="preserve">Prueba de conocimientos sobre los mecanismos y entidades  responsables de la protección de los   derechos de los pueblos, del trabajo y de la naturaleza  </w:t>
            </w:r>
          </w:p>
          <w:p>
            <w:pPr>
              <w:spacing w:after="0" w:line="240" w:lineRule="auto"/>
              <w:rPr>
                <w:rFonts w:cs="Calibri"/>
                <w:sz w:val="20"/>
                <w:szCs w:val="20"/>
              </w:rPr>
            </w:pPr>
          </w:p>
          <w:p>
            <w:pPr>
              <w:spacing w:after="0" w:line="240" w:lineRule="auto"/>
              <w:rPr>
                <w:rFonts w:cs="Calibri"/>
                <w:sz w:val="20"/>
                <w:szCs w:val="20"/>
              </w:rPr>
            </w:pPr>
          </w:p>
          <w:p>
            <w:pPr>
              <w:spacing w:after="0" w:line="240" w:lineRule="auto"/>
              <w:rPr>
                <w:rFonts w:cs="Calibri"/>
                <w:sz w:val="20"/>
                <w:szCs w:val="20"/>
              </w:rPr>
            </w:pPr>
            <w:r>
              <w:rPr>
                <w:rFonts w:cs="Calibri"/>
                <w:sz w:val="20"/>
                <w:szCs w:val="20"/>
              </w:rPr>
              <w:t>PRODUCTO</w:t>
            </w:r>
          </w:p>
          <w:p>
            <w:pPr>
              <w:spacing w:after="0" w:line="240" w:lineRule="auto"/>
              <w:rPr>
                <w:rFonts w:cs="Calibri"/>
                <w:sz w:val="20"/>
                <w:szCs w:val="20"/>
              </w:rPr>
            </w:pPr>
            <w:r>
              <w:rPr>
                <w:rFonts w:cs="Calibri"/>
                <w:sz w:val="20"/>
                <w:szCs w:val="20"/>
              </w:rPr>
              <w:t xml:space="preserve">Fotos, carteles </w:t>
            </w:r>
          </w:p>
          <w:p>
            <w:pPr>
              <w:spacing w:after="0" w:line="240" w:lineRule="auto"/>
              <w:rPr>
                <w:rFonts w:cs="Calibri"/>
                <w:sz w:val="20"/>
                <w:szCs w:val="20"/>
              </w:rPr>
            </w:pPr>
          </w:p>
        </w:tc>
        <w:tc>
          <w:tcPr>
            <w:tcW w:w="3100" w:type="dxa"/>
          </w:tcPr>
          <w:p>
            <w:pPr>
              <w:spacing w:after="0" w:line="240" w:lineRule="auto"/>
              <w:rPr>
                <w:rFonts w:cs="Calibri"/>
                <w:sz w:val="20"/>
                <w:szCs w:val="20"/>
              </w:rPr>
            </w:pPr>
            <w:r>
              <w:rPr>
                <w:rFonts w:cs="Calibri"/>
                <w:sz w:val="20"/>
                <w:szCs w:val="20"/>
              </w:rPr>
              <w:t>Respuestas a preguntas de comprensión y aplicación sobre  los mecanismos  y las instituciones comprometidas en la defensa y protección de los derechos de los pueblos, del trabajo y de la naturaleza</w:t>
            </w:r>
          </w:p>
        </w:tc>
        <w:tc>
          <w:tcPr>
            <w:tcW w:w="3260" w:type="dxa"/>
          </w:tcPr>
          <w:p>
            <w:pPr>
              <w:spacing w:after="0" w:line="240" w:lineRule="auto"/>
              <w:rPr>
                <w:rFonts w:cs="Calibri"/>
                <w:sz w:val="20"/>
                <w:szCs w:val="20"/>
              </w:rPr>
            </w:pPr>
            <w:r>
              <w:rPr>
                <w:rFonts w:cs="Calibri"/>
                <w:sz w:val="20"/>
                <w:szCs w:val="20"/>
              </w:rPr>
              <w:t>Técnica: Formulación de preguntas</w:t>
            </w:r>
          </w:p>
          <w:p>
            <w:pPr>
              <w:spacing w:after="0" w:line="240" w:lineRule="auto"/>
              <w:rPr>
                <w:rFonts w:cs="Calibri"/>
                <w:sz w:val="20"/>
                <w:szCs w:val="20"/>
              </w:rPr>
            </w:pPr>
            <w:r>
              <w:rPr>
                <w:rFonts w:cs="Calibri"/>
                <w:sz w:val="20"/>
                <w:szCs w:val="20"/>
              </w:rPr>
              <w:t>Instrumentos: cuestionarios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77" w:type="dxa"/>
            <w:vMerge w:val="continue"/>
          </w:tcPr>
          <w:p>
            <w:pPr>
              <w:widowControl w:val="0"/>
              <w:pBdr>
                <w:top w:val="none" w:color="auto" w:sz="0" w:space="0"/>
                <w:left w:val="none" w:color="auto" w:sz="0" w:space="0"/>
                <w:bottom w:val="none" w:color="auto" w:sz="0" w:space="0"/>
                <w:right w:val="none" w:color="auto" w:sz="0" w:space="0"/>
                <w:between w:val="none" w:color="auto" w:sz="0" w:space="0"/>
              </w:pBdr>
              <w:spacing w:after="0" w:line="240" w:lineRule="auto"/>
              <w:rPr>
                <w:rFonts w:cs="Calibri"/>
                <w:b/>
                <w:sz w:val="20"/>
                <w:szCs w:val="20"/>
              </w:rPr>
            </w:pPr>
          </w:p>
        </w:tc>
        <w:tc>
          <w:tcPr>
            <w:tcW w:w="3100" w:type="dxa"/>
          </w:tcPr>
          <w:p>
            <w:pPr>
              <w:spacing w:after="0" w:line="240" w:lineRule="auto"/>
              <w:rPr>
                <w:rFonts w:cs="Calibri"/>
                <w:sz w:val="20"/>
                <w:szCs w:val="20"/>
              </w:rPr>
            </w:pPr>
            <w:r>
              <w:rPr>
                <w:rFonts w:cs="Calibri"/>
                <w:sz w:val="20"/>
                <w:szCs w:val="20"/>
              </w:rPr>
              <w:t>Propone acciones de defensa de la autodeterminación de los pueblos, el desarrollo sostenible, la seguridad alimentaria, el derecho al uso de la ciencia y la tecnología y la paz teniendo en cuenta los indicadores del desarrollo humano.</w:t>
            </w:r>
          </w:p>
        </w:tc>
        <w:tc>
          <w:tcPr>
            <w:tcW w:w="3260" w:type="dxa"/>
          </w:tcPr>
          <w:p>
            <w:pPr>
              <w:spacing w:after="0" w:line="240" w:lineRule="auto"/>
              <w:rPr>
                <w:rFonts w:cs="Calibri"/>
                <w:sz w:val="20"/>
                <w:szCs w:val="20"/>
              </w:rPr>
            </w:pPr>
            <w:r>
              <w:rPr>
                <w:rFonts w:cs="Calibri"/>
                <w:sz w:val="20"/>
                <w:szCs w:val="20"/>
              </w:rPr>
              <w:t>Lista de chequeo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5" w:hRule="atLeast"/>
          <w:jc w:val="center"/>
        </w:trPr>
        <w:tc>
          <w:tcPr>
            <w:tcW w:w="3177" w:type="dxa"/>
          </w:tcPr>
          <w:p>
            <w:pPr>
              <w:spacing w:after="0" w:line="240" w:lineRule="auto"/>
              <w:rPr>
                <w:rFonts w:cs="Calibri"/>
                <w:sz w:val="20"/>
                <w:szCs w:val="20"/>
              </w:rPr>
            </w:pPr>
            <w:r>
              <w:rPr>
                <w:rFonts w:cs="Calibri"/>
                <w:sz w:val="20"/>
                <w:szCs w:val="20"/>
              </w:rPr>
              <w:t xml:space="preserve">ACTITUDINAL </w:t>
            </w:r>
          </w:p>
          <w:p>
            <w:pPr>
              <w:spacing w:after="0" w:line="240" w:lineRule="auto"/>
              <w:rPr>
                <w:rFonts w:cs="Calibri"/>
                <w:b/>
                <w:sz w:val="20"/>
                <w:szCs w:val="20"/>
              </w:rPr>
            </w:pPr>
            <w:r>
              <w:rPr>
                <w:rFonts w:cs="Calibri"/>
                <w:sz w:val="20"/>
                <w:szCs w:val="20"/>
              </w:rPr>
              <w:t>Prueba actitudinal relacionada con la solidaridad de los pueblos; la defensa de la naturaleza, el desarrollo sostenible, la seguridad alimentaria.</w:t>
            </w:r>
          </w:p>
        </w:tc>
        <w:tc>
          <w:tcPr>
            <w:tcW w:w="3100" w:type="dxa"/>
          </w:tcPr>
          <w:p>
            <w:pPr>
              <w:spacing w:after="0" w:line="240" w:lineRule="auto"/>
              <w:rPr>
                <w:rFonts w:cs="Calibri"/>
                <w:sz w:val="20"/>
                <w:szCs w:val="20"/>
              </w:rPr>
            </w:pPr>
            <w:r>
              <w:rPr>
                <w:rFonts w:cs="Calibri"/>
                <w:sz w:val="20"/>
                <w:szCs w:val="20"/>
              </w:rPr>
              <w:t>Valora las acciones de solidaridad por la defensa de  los   derechos de  los pueblos, la naturaleza, la autodeterminación, el  desarrollo sostenible, la seguridad alimentaria</w:t>
            </w:r>
          </w:p>
        </w:tc>
        <w:tc>
          <w:tcPr>
            <w:tcW w:w="3260" w:type="dxa"/>
          </w:tcPr>
          <w:p>
            <w:pPr>
              <w:spacing w:after="0" w:line="240" w:lineRule="auto"/>
              <w:rPr>
                <w:rFonts w:cs="Calibri"/>
                <w:sz w:val="20"/>
                <w:szCs w:val="20"/>
              </w:rPr>
            </w:pPr>
            <w:r>
              <w:rPr>
                <w:rFonts w:cs="Calibri"/>
                <w:sz w:val="20"/>
                <w:szCs w:val="20"/>
              </w:rPr>
              <w:t>Técnica: Formulación de preguntas</w:t>
            </w:r>
          </w:p>
          <w:p>
            <w:pPr>
              <w:spacing w:after="0" w:line="240" w:lineRule="auto"/>
              <w:rPr>
                <w:rFonts w:cs="Calibri"/>
                <w:sz w:val="20"/>
                <w:szCs w:val="20"/>
              </w:rPr>
            </w:pPr>
            <w:r>
              <w:rPr>
                <w:rFonts w:cs="Calibri"/>
                <w:sz w:val="20"/>
                <w:szCs w:val="20"/>
              </w:rPr>
              <w:t>Instrumentos: cuestionarios</w:t>
            </w:r>
          </w:p>
        </w:tc>
      </w:tr>
    </w:tbl>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spacing w:after="0" w:line="240" w:lineRule="auto"/>
        <w:jc w:val="both"/>
        <w:rPr>
          <w:rFonts w:ascii="Arial" w:hAnsi="Arial" w:cs="Arial"/>
          <w:b/>
          <w:color w:val="000000" w:themeColor="text1"/>
          <w:sz w:val="20"/>
          <w:szCs w:val="20"/>
          <w14:textFill>
            <w14:solidFill>
              <w14:schemeClr w14:val="tx1"/>
            </w14:solidFill>
          </w14:textFill>
        </w:rPr>
      </w:pPr>
    </w:p>
    <w:p>
      <w:pPr>
        <w:jc w:val="both"/>
        <w:rPr>
          <w:rFonts w:ascii="Arial" w:hAnsi="Arial" w:cs="Arial"/>
          <w:b/>
          <w:sz w:val="20"/>
          <w:szCs w:val="20"/>
        </w:rPr>
      </w:pPr>
      <w:r>
        <w:rPr>
          <w:rFonts w:ascii="Arial" w:hAnsi="Arial" w:cs="Arial"/>
          <w:b/>
          <w:sz w:val="20"/>
          <w:szCs w:val="20"/>
        </w:rPr>
        <w:t>5. GLOSARIO DE TÉRMINOS</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b/>
          <w:color w:val="000000"/>
          <w:sz w:val="20"/>
          <w:szCs w:val="20"/>
        </w:rPr>
        <w:t xml:space="preserve">Acción Pública: </w:t>
      </w:r>
      <w:r>
        <w:rPr>
          <w:color w:val="000000"/>
          <w:sz w:val="20"/>
          <w:szCs w:val="20"/>
        </w:rPr>
        <w:t xml:space="preserve">se definen como acciones públicas, aquellas acciones jurídicas que las personas pueden presentar por su propia cuenta sin que medie necesariamente la representación de un abogado. Este tipo de acciones pueden ser elevadas por cualquier ciudadano, en las entidades de control y garantía de los derechos fundamentales. </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b/>
          <w:color w:val="000000"/>
          <w:sz w:val="20"/>
          <w:szCs w:val="20"/>
        </w:rPr>
      </w:pPr>
      <w:r>
        <w:rPr>
          <w:b/>
          <w:color w:val="000000"/>
          <w:sz w:val="20"/>
          <w:szCs w:val="20"/>
        </w:rPr>
        <w:t xml:space="preserve">Activismo Judicial Territorial: </w:t>
      </w:r>
      <w:r>
        <w:rPr>
          <w:color w:val="000000"/>
          <w:sz w:val="20"/>
          <w:szCs w:val="20"/>
        </w:rPr>
        <w:t xml:space="preserve">Consiste en una práctica específica de los grupos y las comunidades para promover el acceso a la justicia frente a vulneraciones de sus derechos, mediante la utilización de acciones públicas, y otros mecanismos de exigibilidad de los derechos. La movilización y la acción colectiva para la exigibilidad de los derechos es una de las prácticas que más crece en la demanda de derechos en América Latina, Estados Unidos y Europa, en el entendido que el derecho le pertenece a las personas y que las instituciones locales tienen la responsabilidad de protegerlos y garantizarlos. </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b/>
          <w:color w:val="000000"/>
          <w:sz w:val="20"/>
          <w:szCs w:val="20"/>
        </w:rPr>
        <w:t>Derechos de solidaridad o de los pueblos:</w:t>
      </w:r>
      <w:r>
        <w:rPr>
          <w:color w:val="000000"/>
          <w:sz w:val="20"/>
          <w:szCs w:val="20"/>
        </w:rPr>
        <w:t xml:space="preserve"> Los derechos de solidaridad, o también llamados derechos de los pueblos, son las exigencias más recientes en el tiempo, son derechos que optimizan el desarrollo de una persona en un ambiente apropiado. Son caracterizados porque se vinculan con la solidaridad, cubren a pueblos o la humanidad entera y no solamente a individuos, contemplan al ser humano en su universalidad y buscan garantías para la humanidad como un todo. Según la clasificación de las tres generaciones de derechos humanos,  se los denomina como derechos de tercera generación. </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color w:val="000000"/>
          <w:sz w:val="20"/>
          <w:szCs w:val="20"/>
        </w:rPr>
        <w:t>Documento recuperado el 06 – 06 – 2018, https://es.wikipedia.org/wiki/Derechos_de_solidaridad</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b/>
          <w:color w:val="000000"/>
          <w:sz w:val="20"/>
          <w:szCs w:val="20"/>
        </w:rPr>
        <w:t>Desarrollo sostenible:</w:t>
      </w:r>
      <w:r>
        <w:rPr>
          <w:color w:val="000000"/>
          <w:sz w:val="20"/>
          <w:szCs w:val="20"/>
        </w:rPr>
        <w:t xml:space="preserve"> Se define «el desarrollo sostenible como la satisfacción de «las necesidades de la generación presente sin comprometer la capacidad de las generaciones futuras para satisfacer sus propias necesidades». (Informe titulado «Nuestro futuro común» de 1987, Comisión Mundial sobre el Medio Ambiente y el Desarrollo), el desarrollo sostenible ha emergido como el principio rector para el desarrollo mundial a largo plazo. Consta de tres pilares, el desarrollo sostenible trata de lograr, de manera equilibrada, el desarrollo económico, el desarrollo social y la protección del medio ambiente.</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color w:val="000000"/>
          <w:sz w:val="20"/>
          <w:szCs w:val="20"/>
        </w:rPr>
        <w:t>Documento recuperado el 06 – 06 – 2018, http://www.un.org/es/ga/president/65/issues/sustdev.shtml</w:t>
      </w:r>
    </w:p>
    <w:p>
      <w:pPr>
        <w:pBdr>
          <w:top w:val="none" w:color="auto" w:sz="0" w:space="0"/>
          <w:left w:val="none" w:color="auto" w:sz="0" w:space="0"/>
          <w:bottom w:val="none" w:color="auto" w:sz="0" w:space="0"/>
          <w:right w:val="none" w:color="auto" w:sz="0" w:space="0"/>
          <w:between w:val="none" w:color="auto" w:sz="0" w:space="0"/>
        </w:pBdr>
        <w:shd w:val="clear" w:color="auto" w:fill="FFFFFF"/>
        <w:spacing w:before="24" w:after="24" w:line="240" w:lineRule="auto"/>
        <w:ind w:left="360"/>
        <w:jc w:val="both"/>
        <w:rPr>
          <w:color w:val="000000"/>
          <w:sz w:val="20"/>
          <w:szCs w:val="20"/>
        </w:rPr>
      </w:pPr>
      <w:r>
        <w:rPr>
          <w:b/>
          <w:color w:val="000000"/>
          <w:sz w:val="20"/>
          <w:szCs w:val="20"/>
        </w:rPr>
        <w:t>Derechos de tercera generación:</w:t>
      </w:r>
      <w:r>
        <w:rPr>
          <w:color w:val="000000"/>
          <w:sz w:val="20"/>
          <w:szCs w:val="20"/>
        </w:rPr>
        <w:t xml:space="preserve"> Los Derechos de Tercera Generación también conocidos como Derechos de Solidaridad o de los Pueblos contemplan cuestiones de carácter supranacional como el derecho a la paz y a un medio ambiente sano. Surgen como respuesta a la necesidad de cooperación entre las naciones y los distintos grupos que las integran. Comprende tres tipos de derechos: civiles y políticos; económicos, sociales y culturales; y de cooperación entre los pueblos. Pertenecen a los distintos grupos que conforman una nación y a las naciones entre sí. Su titular es el Estado, pero también pueden ser reclamados ante el propio Estado por los grupos pertenecientes al mismo, y ante otro Estado, en el caso de la comunidad internacional: de nación a nación.</w:t>
      </w:r>
    </w:p>
    <w:p>
      <w:pPr>
        <w:pBdr>
          <w:top w:val="none" w:color="auto" w:sz="0" w:space="0"/>
          <w:left w:val="none" w:color="auto" w:sz="0" w:space="0"/>
          <w:bottom w:val="none" w:color="auto" w:sz="0" w:space="0"/>
          <w:right w:val="none" w:color="auto" w:sz="0" w:space="0"/>
          <w:between w:val="none" w:color="auto" w:sz="0" w:space="0"/>
        </w:pBdr>
        <w:shd w:val="clear" w:color="auto" w:fill="FFFFFF"/>
        <w:spacing w:after="0" w:line="240" w:lineRule="auto"/>
        <w:ind w:left="360"/>
        <w:jc w:val="both"/>
        <w:rPr>
          <w:color w:val="000000"/>
          <w:sz w:val="20"/>
          <w:szCs w:val="20"/>
        </w:rPr>
      </w:pPr>
      <w:r>
        <w:rPr>
          <w:color w:val="000000"/>
          <w:sz w:val="20"/>
          <w:szCs w:val="20"/>
        </w:rPr>
        <w:t>Documento recuperado el 06 – 06 – 2018, http://www.abc.com.py/articulos/los-derechos-humanos-de-tercera-generacion-1107906.html</w:t>
      </w:r>
    </w:p>
    <w:p>
      <w:pPr>
        <w:tabs>
          <w:tab w:val="left" w:pos="990"/>
        </w:tabs>
        <w:spacing w:after="0"/>
        <w:ind w:left="360"/>
        <w:jc w:val="both"/>
        <w:rPr>
          <w:sz w:val="20"/>
          <w:szCs w:val="20"/>
        </w:rPr>
      </w:pPr>
      <w:r>
        <w:rPr>
          <w:b/>
          <w:sz w:val="20"/>
          <w:szCs w:val="20"/>
        </w:rPr>
        <w:t>Derechos de territorialidad:</w:t>
      </w:r>
      <w:r>
        <w:rPr>
          <w:sz w:val="20"/>
          <w:szCs w:val="20"/>
        </w:rPr>
        <w:t xml:space="preserve"> Hacen relación a los derechos de los pueblos indígenas, negritudes, raizales, palanqueros, en estos derechos se establece el reconocimiento y el respeto de las costumbres, las tradiciones y los sistemas de tenencia de la tierra de estos pueblos. En el caso de Colombia, como nación multiétnica y pluricultural, ha establecido que estas comunidades tienen derecho a decidir sobre sus territorios. En este sentido, el Estado debe tomar las medidas necesarias para determinar las tierras ocupadas y garantizar la protección efectiva de sus derechos de propiedad y posesión. </w:t>
      </w:r>
    </w:p>
    <w:p>
      <w:pPr>
        <w:tabs>
          <w:tab w:val="left" w:pos="990"/>
        </w:tabs>
        <w:spacing w:after="0"/>
        <w:ind w:left="360"/>
        <w:jc w:val="both"/>
        <w:rPr>
          <w:sz w:val="20"/>
          <w:szCs w:val="20"/>
        </w:rPr>
      </w:pPr>
      <w:r>
        <w:rPr>
          <w:sz w:val="20"/>
          <w:szCs w:val="20"/>
        </w:rPr>
        <w:t>Documento recuperado 06 – 06 – 2018 http://www.urosario.edu.co/jurisprudencia/catedra-viva-intercultural/Documentos/derechosterritoriales2.pdf</w:t>
      </w:r>
    </w:p>
    <w:p>
      <w:pPr>
        <w:tabs>
          <w:tab w:val="left" w:pos="990"/>
        </w:tabs>
        <w:spacing w:after="0"/>
        <w:ind w:left="360"/>
        <w:jc w:val="both"/>
        <w:rPr>
          <w:sz w:val="20"/>
          <w:szCs w:val="20"/>
        </w:rPr>
      </w:pPr>
      <w:r>
        <w:rPr>
          <w:b/>
          <w:sz w:val="20"/>
          <w:szCs w:val="20"/>
        </w:rPr>
        <w:t>Dignidad de los pueblos:</w:t>
      </w:r>
      <w:r>
        <w:rPr>
          <w:sz w:val="20"/>
          <w:szCs w:val="20"/>
        </w:rPr>
        <w:t xml:space="preserve"> una variable construida a partir del reconocimiento de la materialización los derechos y la línea de redistribución de los mismos asociada a la equidad, igualdad e identidad en los derechos fundamentales en el trabajo. </w:t>
      </w:r>
    </w:p>
    <w:p>
      <w:pPr>
        <w:tabs>
          <w:tab w:val="left" w:pos="990"/>
        </w:tabs>
        <w:spacing w:after="0"/>
        <w:ind w:left="360"/>
        <w:jc w:val="both"/>
        <w:rPr>
          <w:sz w:val="20"/>
          <w:szCs w:val="20"/>
        </w:rPr>
      </w:pPr>
      <w:r>
        <w:rPr>
          <w:sz w:val="20"/>
          <w:szCs w:val="20"/>
        </w:rPr>
        <w:t xml:space="preserve">Documento recuperado 06 – 06 - 2018 </w:t>
      </w:r>
      <w:r>
        <w:fldChar w:fldCharType="begin"/>
      </w:r>
      <w:r>
        <w:instrText xml:space="preserve"> HYPERLINK "https://www.dejusticia.org/wp-content/" \h </w:instrText>
      </w:r>
      <w:r>
        <w:fldChar w:fldCharType="separate"/>
      </w:r>
      <w:r>
        <w:rPr>
          <w:sz w:val="20"/>
          <w:szCs w:val="20"/>
        </w:rPr>
        <w:t>https://www.dejusticia.org/wp-content/</w:t>
      </w:r>
      <w:r>
        <w:rPr>
          <w:sz w:val="20"/>
          <w:szCs w:val="20"/>
        </w:rPr>
        <w:fldChar w:fldCharType="end"/>
      </w:r>
      <w:r>
        <w:rPr>
          <w:sz w:val="20"/>
          <w:szCs w:val="20"/>
        </w:rPr>
        <w:t xml:space="preserve"> uploads/2017/04/fi_ name_ recurso_745.pdf?x54537</w:t>
      </w:r>
    </w:p>
    <w:p>
      <w:pPr>
        <w:tabs>
          <w:tab w:val="left" w:pos="990"/>
        </w:tabs>
        <w:spacing w:after="0"/>
        <w:ind w:left="360"/>
        <w:jc w:val="both"/>
        <w:rPr>
          <w:sz w:val="20"/>
          <w:szCs w:val="20"/>
        </w:rPr>
      </w:pPr>
      <w:r>
        <w:rPr>
          <w:b/>
          <w:sz w:val="20"/>
          <w:szCs w:val="20"/>
        </w:rPr>
        <w:t>Equidad laboral:</w:t>
      </w:r>
      <w:r>
        <w:rPr>
          <w:sz w:val="20"/>
          <w:szCs w:val="20"/>
        </w:rPr>
        <w:t xml:space="preserve"> La equidad laboral  hace referencia a la igualdad en lo que a raza, origen o religión se refiere, en un mundo en el que las oleadas migratorias son el pan de cada día. De hecho, el objetivo final es que cualquier trabajador tenga los mismos derechos en una empresa o institución sea cual sea su origen, sus creencias o su sexo/ sexualidad. En conclusión, la equidad laboral es aquello que debería regir los puestos de trabajo de todos los ciudadanos del mundo. </w:t>
      </w:r>
    </w:p>
    <w:p>
      <w:pPr>
        <w:tabs>
          <w:tab w:val="left" w:pos="990"/>
        </w:tabs>
        <w:spacing w:after="0"/>
        <w:ind w:left="360"/>
        <w:jc w:val="both"/>
        <w:rPr>
          <w:sz w:val="20"/>
          <w:szCs w:val="20"/>
        </w:rPr>
      </w:pPr>
      <w:r>
        <w:rPr>
          <w:sz w:val="20"/>
          <w:szCs w:val="20"/>
        </w:rPr>
        <w:t>Documento recuperado 06 – 06 - 2018http://buscarempleo.republica.com/derecho-laboral/equidad-laboral.html</w:t>
      </w:r>
    </w:p>
    <w:p>
      <w:pPr>
        <w:tabs>
          <w:tab w:val="left" w:pos="990"/>
        </w:tabs>
        <w:spacing w:after="0"/>
        <w:ind w:left="360"/>
        <w:jc w:val="both"/>
        <w:rPr>
          <w:sz w:val="20"/>
          <w:szCs w:val="20"/>
        </w:rPr>
      </w:pPr>
      <w:r>
        <w:rPr>
          <w:b/>
          <w:sz w:val="20"/>
          <w:szCs w:val="20"/>
        </w:rPr>
        <w:t>Identidad nacional:</w:t>
      </w:r>
      <w:r>
        <w:rPr>
          <w:sz w:val="20"/>
          <w:szCs w:val="20"/>
        </w:rPr>
        <w:t xml:space="preserve"> Se entiende por identidad nacional aquella identidad de una persona que se relaciona con la nación a la cual pertenece, sea esta por haber nacido en tal territorio, por formar parte de una comunidad o por sentir lazos de pertenencia con las costumbres y tradiciones de tal nación.</w:t>
      </w:r>
    </w:p>
    <w:p>
      <w:pPr>
        <w:tabs>
          <w:tab w:val="left" w:pos="990"/>
        </w:tabs>
        <w:spacing w:after="0"/>
        <w:ind w:left="360"/>
        <w:jc w:val="both"/>
        <w:rPr>
          <w:sz w:val="20"/>
          <w:szCs w:val="20"/>
        </w:rPr>
      </w:pPr>
      <w:r>
        <w:rPr>
          <w:sz w:val="20"/>
          <w:szCs w:val="20"/>
        </w:rPr>
        <w:t xml:space="preserve">Documento recuperado 06 -06 -2018 </w:t>
      </w:r>
      <w:r>
        <w:fldChar w:fldCharType="begin"/>
      </w:r>
      <w:r>
        <w:instrText xml:space="preserve"> HYPERLINK "https://www.definicionabc.com/social/identidad-nacional.php" \h </w:instrText>
      </w:r>
      <w:r>
        <w:fldChar w:fldCharType="separate"/>
      </w:r>
      <w:r>
        <w:rPr>
          <w:sz w:val="20"/>
          <w:szCs w:val="20"/>
        </w:rPr>
        <w:t>https://www.definicionabc.com/social/identidad-nacional.php</w:t>
      </w:r>
      <w:r>
        <w:rPr>
          <w:sz w:val="20"/>
          <w:szCs w:val="20"/>
        </w:rPr>
        <w:fldChar w:fldCharType="end"/>
      </w:r>
    </w:p>
    <w:p>
      <w:pPr>
        <w:tabs>
          <w:tab w:val="left" w:pos="990"/>
        </w:tabs>
        <w:spacing w:after="0"/>
        <w:ind w:left="360"/>
        <w:jc w:val="both"/>
        <w:rPr>
          <w:sz w:val="20"/>
          <w:szCs w:val="20"/>
        </w:rPr>
      </w:pPr>
      <w:r>
        <w:rPr>
          <w:b/>
          <w:sz w:val="20"/>
          <w:szCs w:val="20"/>
        </w:rPr>
        <w:t xml:space="preserve">Identidad cultural: </w:t>
      </w:r>
      <w:r>
        <w:rPr>
          <w:sz w:val="20"/>
          <w:szCs w:val="20"/>
        </w:rPr>
        <w:t xml:space="preserve">es un conjunto de valores, tradiciones, símbolos, creencias y modos de comportamiento que funcionan como elementos dentro de un grupo social y que actúan para que los individuos que lo forman puedan fundamentar su sentimiento de pertenencia que hacen parte a la diversidad al interior de las mismas en respuesta a los intereses, códigos, normas y rituales que comparten dichos grupos dentro de la cultura dominante. </w:t>
      </w:r>
    </w:p>
    <w:p>
      <w:pPr>
        <w:tabs>
          <w:tab w:val="left" w:pos="990"/>
        </w:tabs>
        <w:spacing w:after="0"/>
        <w:ind w:left="360"/>
        <w:jc w:val="both"/>
        <w:rPr>
          <w:sz w:val="20"/>
          <w:szCs w:val="20"/>
        </w:rPr>
      </w:pPr>
      <w:r>
        <w:rPr>
          <w:sz w:val="20"/>
          <w:szCs w:val="20"/>
        </w:rPr>
        <w:t>Documento recuperado 06 – 06 – 2018 https://es.wikipedia.org/wiki/Identidad_cultural</w:t>
      </w:r>
    </w:p>
    <w:p>
      <w:pPr>
        <w:tabs>
          <w:tab w:val="left" w:pos="990"/>
        </w:tabs>
        <w:spacing w:after="0"/>
        <w:ind w:left="360"/>
        <w:jc w:val="both"/>
        <w:rPr>
          <w:sz w:val="20"/>
          <w:szCs w:val="20"/>
        </w:rPr>
      </w:pPr>
      <w:r>
        <w:rPr>
          <w:b/>
          <w:sz w:val="20"/>
          <w:szCs w:val="20"/>
        </w:rPr>
        <w:t>Igualdad laboral:</w:t>
      </w:r>
      <w:r>
        <w:rPr>
          <w:sz w:val="20"/>
          <w:szCs w:val="20"/>
        </w:rPr>
        <w:t xml:space="preserve"> hace referencia a que todos los trabajadores son iguales ante la ley, tienen las mismas protección y garantías, y, en consecuencia, queda abolida toda distinción jurídica entre los trabajadores por razón del carácter intelectual o material de la labor, su forma o retribución, salvo las excepciones establecidas por la Ley” </w:t>
      </w:r>
    </w:p>
    <w:p>
      <w:pPr>
        <w:tabs>
          <w:tab w:val="left" w:pos="990"/>
        </w:tabs>
        <w:spacing w:after="0"/>
        <w:ind w:left="360"/>
        <w:jc w:val="both"/>
        <w:rPr>
          <w:sz w:val="20"/>
          <w:szCs w:val="20"/>
        </w:rPr>
      </w:pPr>
      <w:r>
        <w:rPr>
          <w:sz w:val="20"/>
          <w:szCs w:val="20"/>
        </w:rPr>
        <w:t xml:space="preserve">Documento recuperado 06 – 06 – 2018, </w:t>
      </w:r>
      <w:r>
        <w:fldChar w:fldCharType="begin"/>
      </w:r>
      <w:r>
        <w:instrText xml:space="preserve"> HYPERLINK "http://www.eluniversal.com.co/consultorio/laboral/" \h </w:instrText>
      </w:r>
      <w:r>
        <w:fldChar w:fldCharType="separate"/>
      </w:r>
      <w:r>
        <w:rPr>
          <w:sz w:val="20"/>
          <w:szCs w:val="20"/>
        </w:rPr>
        <w:t>http://www.eluniversal.com.co/consultorio/laboral/</w:t>
      </w:r>
      <w:r>
        <w:rPr>
          <w:sz w:val="20"/>
          <w:szCs w:val="20"/>
        </w:rPr>
        <w:fldChar w:fldCharType="end"/>
      </w:r>
      <w:r>
        <w:rPr>
          <w:sz w:val="20"/>
          <w:szCs w:val="20"/>
        </w:rPr>
        <w:t xml:space="preserve"> derecho-la-igualdad-y-proteccion-especial-de-trabajadores-sindicalizados.</w:t>
      </w:r>
    </w:p>
    <w:p>
      <w:pPr>
        <w:jc w:val="both"/>
        <w:rPr>
          <w:rFonts w:ascii="Arial" w:hAnsi="Arial" w:cs="Arial"/>
          <w:b/>
          <w:sz w:val="20"/>
          <w:szCs w:val="20"/>
        </w:rPr>
      </w:pPr>
    </w:p>
    <w:p>
      <w:pPr>
        <w:jc w:val="both"/>
        <w:rPr>
          <w:rFonts w:ascii="Arial" w:hAnsi="Arial" w:cs="Arial"/>
          <w:b/>
          <w:sz w:val="20"/>
          <w:szCs w:val="20"/>
        </w:rPr>
      </w:pPr>
      <w:r>
        <w:rPr>
          <w:rFonts w:ascii="Arial" w:hAnsi="Arial" w:cs="Arial"/>
          <w:b/>
          <w:sz w:val="20"/>
          <w:szCs w:val="20"/>
        </w:rPr>
        <w:t>6. REFERENTES BILBIOGRÁFICOS</w:t>
      </w:r>
    </w:p>
    <w:p>
      <w:pPr>
        <w:jc w:val="both"/>
        <w:rPr>
          <w:sz w:val="20"/>
          <w:szCs w:val="20"/>
        </w:rPr>
      </w:pPr>
      <w:r>
        <w:rPr>
          <w:sz w:val="20"/>
          <w:szCs w:val="20"/>
        </w:rPr>
        <w:t>RODRÍGUEZ, Cesar. (2010). El Derecho en América Latina. Siglo XXI editores. Bogotá D.C.</w:t>
      </w:r>
    </w:p>
    <w:p>
      <w:pPr>
        <w:jc w:val="both"/>
        <w:rPr>
          <w:sz w:val="20"/>
          <w:szCs w:val="20"/>
        </w:rPr>
      </w:pPr>
      <w:r>
        <w:rPr>
          <w:sz w:val="20"/>
          <w:szCs w:val="20"/>
        </w:rPr>
        <w:t xml:space="preserve">RODRÍGUEZ, Mauricio. (2017). Activismo Judicial Territorial. Versión PDF. </w:t>
      </w:r>
    </w:p>
    <w:p>
      <w:pPr>
        <w:jc w:val="both"/>
        <w:rPr>
          <w:sz w:val="20"/>
          <w:szCs w:val="20"/>
        </w:rPr>
      </w:pPr>
      <w:r>
        <w:rPr>
          <w:sz w:val="20"/>
          <w:szCs w:val="20"/>
        </w:rPr>
        <w:t xml:space="preserve">SANTOS, Boaventura de Sousa. (2009). Sociología Jurídica Crítica. ILSA, Bogotá D.C. </w:t>
      </w:r>
    </w:p>
    <w:p>
      <w:pPr>
        <w:jc w:val="both"/>
        <w:rPr>
          <w:rFonts w:ascii="Arial" w:hAnsi="Arial" w:cs="Arial"/>
          <w:b/>
          <w:sz w:val="20"/>
          <w:szCs w:val="20"/>
        </w:rPr>
      </w:pPr>
      <w:r>
        <w:rPr>
          <w:rFonts w:ascii="Arial" w:hAnsi="Arial" w:cs="Arial"/>
          <w:b/>
          <w:sz w:val="20"/>
          <w:szCs w:val="20"/>
        </w:rPr>
        <w:t>7. CONTROL DEL DOCUMENTO</w:t>
      </w:r>
    </w:p>
    <w:tbl>
      <w:tblPr>
        <w:tblStyle w:val="6"/>
        <w:tblW w:w="99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2854"/>
        <w:gridCol w:w="1559"/>
        <w:gridCol w:w="2013"/>
        <w:gridCol w:w="22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tcBorders>
              <w:top w:val="nil"/>
              <w:left w:val="nil"/>
            </w:tcBorders>
          </w:tcPr>
          <w:p>
            <w:pPr>
              <w:spacing w:after="0" w:line="240" w:lineRule="auto"/>
              <w:jc w:val="both"/>
              <w:rPr>
                <w:b/>
                <w:sz w:val="20"/>
                <w:szCs w:val="20"/>
              </w:rPr>
            </w:pPr>
            <w:bookmarkStart w:id="0" w:name="_Hlk36158500"/>
          </w:p>
        </w:tc>
        <w:tc>
          <w:tcPr>
            <w:tcW w:w="2854" w:type="dxa"/>
          </w:tcPr>
          <w:p>
            <w:pPr>
              <w:spacing w:after="0" w:line="240" w:lineRule="auto"/>
              <w:jc w:val="both"/>
              <w:rPr>
                <w:b/>
                <w:sz w:val="20"/>
                <w:szCs w:val="20"/>
              </w:rPr>
            </w:pPr>
            <w:r>
              <w:rPr>
                <w:b/>
                <w:sz w:val="20"/>
                <w:szCs w:val="20"/>
              </w:rPr>
              <w:t>Nombre</w:t>
            </w:r>
          </w:p>
        </w:tc>
        <w:tc>
          <w:tcPr>
            <w:tcW w:w="1559" w:type="dxa"/>
          </w:tcPr>
          <w:p>
            <w:pPr>
              <w:spacing w:after="0" w:line="240" w:lineRule="auto"/>
              <w:jc w:val="both"/>
              <w:rPr>
                <w:b/>
                <w:sz w:val="20"/>
                <w:szCs w:val="20"/>
              </w:rPr>
            </w:pPr>
            <w:r>
              <w:rPr>
                <w:b/>
                <w:sz w:val="20"/>
                <w:szCs w:val="20"/>
              </w:rPr>
              <w:t>Cargo</w:t>
            </w:r>
          </w:p>
        </w:tc>
        <w:tc>
          <w:tcPr>
            <w:tcW w:w="2013" w:type="dxa"/>
          </w:tcPr>
          <w:p>
            <w:pPr>
              <w:spacing w:after="0" w:line="240" w:lineRule="auto"/>
              <w:jc w:val="both"/>
              <w:rPr>
                <w:b/>
                <w:sz w:val="20"/>
                <w:szCs w:val="20"/>
              </w:rPr>
            </w:pPr>
            <w:r>
              <w:rPr>
                <w:b/>
                <w:sz w:val="20"/>
                <w:szCs w:val="20"/>
              </w:rPr>
              <w:t>Dependencia</w:t>
            </w:r>
          </w:p>
        </w:tc>
        <w:tc>
          <w:tcPr>
            <w:tcW w:w="2263" w:type="dxa"/>
          </w:tcPr>
          <w:p>
            <w:pPr>
              <w:spacing w:after="0" w:line="240" w:lineRule="auto"/>
              <w:jc w:val="both"/>
              <w:rPr>
                <w:b/>
                <w:sz w:val="20"/>
                <w:szCs w:val="20"/>
              </w:rPr>
            </w:pPr>
            <w:r>
              <w:rPr>
                <w:b/>
                <w:sz w:val="20"/>
                <w:szCs w:val="20"/>
              </w:rPr>
              <w:t>Fecha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 w:hRule="atLeast"/>
          <w:jc w:val="center"/>
        </w:trPr>
        <w:tc>
          <w:tcPr>
            <w:tcW w:w="1242" w:type="dxa"/>
            <w:vMerge w:val="restart"/>
            <w:vAlign w:val="center"/>
          </w:tcPr>
          <w:p>
            <w:pPr>
              <w:spacing w:after="0" w:line="240" w:lineRule="auto"/>
              <w:jc w:val="center"/>
              <w:rPr>
                <w:b/>
                <w:sz w:val="20"/>
                <w:szCs w:val="20"/>
              </w:rPr>
            </w:pPr>
            <w:r>
              <w:rPr>
                <w:b/>
                <w:sz w:val="20"/>
                <w:szCs w:val="20"/>
              </w:rPr>
              <w:t>Autor (es)</w:t>
            </w:r>
          </w:p>
        </w:tc>
        <w:tc>
          <w:tcPr>
            <w:tcW w:w="2854" w:type="dxa"/>
          </w:tcPr>
          <w:p>
            <w:pPr>
              <w:spacing w:after="0" w:line="240" w:lineRule="auto"/>
              <w:jc w:val="both"/>
              <w:rPr>
                <w:sz w:val="20"/>
                <w:szCs w:val="20"/>
              </w:rPr>
            </w:pPr>
            <w:r>
              <w:rPr>
                <w:sz w:val="20"/>
                <w:szCs w:val="20"/>
              </w:rPr>
              <w:t>Hernando Oviedo</w:t>
            </w:r>
          </w:p>
        </w:tc>
        <w:tc>
          <w:tcPr>
            <w:tcW w:w="1559" w:type="dxa"/>
          </w:tcPr>
          <w:p>
            <w:pPr>
              <w:spacing w:after="0" w:line="240" w:lineRule="auto"/>
              <w:jc w:val="both"/>
              <w:rPr>
                <w:sz w:val="20"/>
                <w:szCs w:val="20"/>
              </w:rPr>
            </w:pPr>
            <w:r>
              <w:rPr>
                <w:sz w:val="20"/>
                <w:szCs w:val="20"/>
              </w:rPr>
              <w:t>Profesional</w:t>
            </w:r>
          </w:p>
        </w:tc>
        <w:tc>
          <w:tcPr>
            <w:tcW w:w="2013" w:type="dxa"/>
          </w:tcPr>
          <w:p>
            <w:pPr>
              <w:spacing w:after="0" w:line="240" w:lineRule="auto"/>
              <w:jc w:val="both"/>
              <w:rPr>
                <w:sz w:val="20"/>
                <w:szCs w:val="20"/>
              </w:rPr>
            </w:pPr>
            <w:r>
              <w:rPr>
                <w:sz w:val="20"/>
                <w:szCs w:val="20"/>
              </w:rPr>
              <w:t>ENI</w:t>
            </w:r>
          </w:p>
        </w:tc>
        <w:tc>
          <w:tcPr>
            <w:tcW w:w="2263" w:type="dxa"/>
          </w:tcPr>
          <w:p>
            <w:pPr>
              <w:spacing w:after="0" w:line="240" w:lineRule="auto"/>
              <w:jc w:val="both"/>
              <w:rPr>
                <w:sz w:val="20"/>
                <w:szCs w:val="20"/>
              </w:rPr>
            </w:pPr>
            <w:r>
              <w:rPr>
                <w:sz w:val="20"/>
                <w:szCs w:val="20"/>
              </w:rPr>
              <w:t>Junio 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42" w:type="dxa"/>
            <w:vMerge w:val="continue"/>
          </w:tcPr>
          <w:p>
            <w:pPr>
              <w:spacing w:after="0" w:line="240" w:lineRule="auto"/>
              <w:jc w:val="both"/>
              <w:rPr>
                <w:b/>
                <w:sz w:val="20"/>
                <w:szCs w:val="20"/>
              </w:rPr>
            </w:pPr>
          </w:p>
        </w:tc>
        <w:tc>
          <w:tcPr>
            <w:tcW w:w="2854" w:type="dxa"/>
          </w:tcPr>
          <w:p>
            <w:pPr>
              <w:spacing w:after="0" w:line="240" w:lineRule="auto"/>
              <w:jc w:val="both"/>
              <w:rPr>
                <w:sz w:val="20"/>
                <w:szCs w:val="20"/>
              </w:rPr>
            </w:pPr>
            <w:r>
              <w:rPr>
                <w:sz w:val="20"/>
                <w:szCs w:val="20"/>
              </w:rPr>
              <w:t>Mauricio Rodríguez</w:t>
            </w:r>
          </w:p>
        </w:tc>
        <w:tc>
          <w:tcPr>
            <w:tcW w:w="1559" w:type="dxa"/>
          </w:tcPr>
          <w:p>
            <w:pPr>
              <w:spacing w:after="0" w:line="240" w:lineRule="auto"/>
              <w:jc w:val="both"/>
              <w:rPr>
                <w:sz w:val="20"/>
                <w:szCs w:val="20"/>
              </w:rPr>
            </w:pPr>
            <w:r>
              <w:rPr>
                <w:sz w:val="20"/>
                <w:szCs w:val="20"/>
              </w:rPr>
              <w:t>Asesor</w:t>
            </w:r>
          </w:p>
        </w:tc>
        <w:tc>
          <w:tcPr>
            <w:tcW w:w="2013" w:type="dxa"/>
          </w:tcPr>
          <w:p>
            <w:pPr>
              <w:spacing w:after="0" w:line="240" w:lineRule="auto"/>
              <w:jc w:val="both"/>
              <w:rPr>
                <w:sz w:val="20"/>
                <w:szCs w:val="20"/>
              </w:rPr>
            </w:pPr>
            <w:r>
              <w:rPr>
                <w:sz w:val="20"/>
                <w:szCs w:val="20"/>
              </w:rPr>
              <w:t>Sindesena</w:t>
            </w:r>
          </w:p>
        </w:tc>
        <w:tc>
          <w:tcPr>
            <w:tcW w:w="2263" w:type="dxa"/>
          </w:tcPr>
          <w:p>
            <w:pPr>
              <w:spacing w:after="0" w:line="240" w:lineRule="auto"/>
              <w:jc w:val="both"/>
              <w:rPr>
                <w:sz w:val="20"/>
                <w:szCs w:val="20"/>
              </w:rPr>
            </w:pPr>
            <w:r>
              <w:rPr>
                <w:sz w:val="20"/>
                <w:szCs w:val="20"/>
              </w:rPr>
              <w:t>Junio 2018</w:t>
            </w:r>
          </w:p>
        </w:tc>
      </w:tr>
      <w:bookmarkEnd w:id="0"/>
    </w:tbl>
    <w:p>
      <w:pPr>
        <w:jc w:val="both"/>
        <w:rPr>
          <w:rFonts w:ascii="Arial" w:hAnsi="Arial" w:cs="Arial"/>
          <w:b/>
          <w:sz w:val="20"/>
          <w:szCs w:val="20"/>
        </w:rPr>
      </w:pPr>
    </w:p>
    <w:p>
      <w:pPr>
        <w:rPr>
          <w:rFonts w:ascii="Arial" w:hAnsi="Arial" w:cs="Arial"/>
          <w:sz w:val="20"/>
          <w:szCs w:val="20"/>
        </w:rPr>
      </w:pPr>
    </w:p>
    <w:p>
      <w:pPr>
        <w:rPr>
          <w:rFonts w:ascii="Arial" w:hAnsi="Arial" w:cs="Arial"/>
          <w:b/>
          <w:sz w:val="20"/>
          <w:szCs w:val="20"/>
        </w:rPr>
      </w:pPr>
      <w:r>
        <w:rPr>
          <w:rFonts w:ascii="Arial" w:hAnsi="Arial" w:cs="Arial"/>
          <w:b/>
          <w:sz w:val="20"/>
          <w:szCs w:val="20"/>
        </w:rPr>
        <w:t xml:space="preserve">8. CONTROL DE CAMBIOS </w:t>
      </w:r>
      <w:r>
        <w:rPr>
          <w:rFonts w:ascii="Arial" w:hAnsi="Arial" w:cs="Arial"/>
          <w:sz w:val="20"/>
          <w:szCs w:val="20"/>
        </w:rPr>
        <w:t>(diligenciar únicamente si realiza ajustes a la guía)</w:t>
      </w:r>
    </w:p>
    <w:tbl>
      <w:tblPr>
        <w:tblStyle w:val="6"/>
        <w:tblW w:w="97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35"/>
        <w:gridCol w:w="2305"/>
        <w:gridCol w:w="1223"/>
        <w:gridCol w:w="2183"/>
        <w:gridCol w:w="1276"/>
        <w:gridCol w:w="15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tcBorders>
              <w:top w:val="nil"/>
              <w:left w:val="nil"/>
            </w:tcBorders>
          </w:tcPr>
          <w:p>
            <w:pPr>
              <w:spacing w:after="0" w:line="240" w:lineRule="auto"/>
              <w:jc w:val="both"/>
              <w:rPr>
                <w:b/>
                <w:sz w:val="20"/>
                <w:szCs w:val="20"/>
              </w:rPr>
            </w:pPr>
          </w:p>
        </w:tc>
        <w:tc>
          <w:tcPr>
            <w:tcW w:w="2305" w:type="dxa"/>
          </w:tcPr>
          <w:p>
            <w:pPr>
              <w:spacing w:after="0" w:line="240" w:lineRule="auto"/>
              <w:jc w:val="both"/>
              <w:rPr>
                <w:b/>
                <w:sz w:val="20"/>
                <w:szCs w:val="20"/>
              </w:rPr>
            </w:pPr>
            <w:r>
              <w:rPr>
                <w:b/>
                <w:sz w:val="20"/>
                <w:szCs w:val="20"/>
              </w:rPr>
              <w:t>Nombre</w:t>
            </w:r>
          </w:p>
        </w:tc>
        <w:tc>
          <w:tcPr>
            <w:tcW w:w="1223" w:type="dxa"/>
          </w:tcPr>
          <w:p>
            <w:pPr>
              <w:spacing w:after="0" w:line="240" w:lineRule="auto"/>
              <w:jc w:val="both"/>
              <w:rPr>
                <w:b/>
                <w:sz w:val="20"/>
                <w:szCs w:val="20"/>
              </w:rPr>
            </w:pPr>
            <w:r>
              <w:rPr>
                <w:b/>
                <w:sz w:val="20"/>
                <w:szCs w:val="20"/>
              </w:rPr>
              <w:t>Cargo</w:t>
            </w:r>
          </w:p>
        </w:tc>
        <w:tc>
          <w:tcPr>
            <w:tcW w:w="2183" w:type="dxa"/>
          </w:tcPr>
          <w:p>
            <w:pPr>
              <w:spacing w:after="0" w:line="240" w:lineRule="auto"/>
              <w:jc w:val="both"/>
              <w:rPr>
                <w:b/>
                <w:sz w:val="20"/>
                <w:szCs w:val="20"/>
              </w:rPr>
            </w:pPr>
            <w:r>
              <w:rPr>
                <w:b/>
                <w:sz w:val="20"/>
                <w:szCs w:val="20"/>
              </w:rPr>
              <w:t>Dependencia</w:t>
            </w:r>
          </w:p>
        </w:tc>
        <w:tc>
          <w:tcPr>
            <w:tcW w:w="1276" w:type="dxa"/>
          </w:tcPr>
          <w:p>
            <w:pPr>
              <w:spacing w:after="0" w:line="240" w:lineRule="auto"/>
              <w:jc w:val="both"/>
              <w:rPr>
                <w:b/>
                <w:sz w:val="20"/>
                <w:szCs w:val="20"/>
              </w:rPr>
            </w:pPr>
            <w:r>
              <w:rPr>
                <w:b/>
                <w:sz w:val="20"/>
                <w:szCs w:val="20"/>
              </w:rPr>
              <w:t>Fecha</w:t>
            </w:r>
          </w:p>
        </w:tc>
        <w:tc>
          <w:tcPr>
            <w:tcW w:w="1525" w:type="dxa"/>
          </w:tcPr>
          <w:p>
            <w:pPr>
              <w:spacing w:after="0" w:line="240" w:lineRule="auto"/>
              <w:jc w:val="both"/>
              <w:rPr>
                <w:b/>
                <w:sz w:val="20"/>
                <w:szCs w:val="20"/>
              </w:rPr>
            </w:pPr>
            <w:r>
              <w:rPr>
                <w:b/>
                <w:sz w:val="20"/>
                <w:szCs w:val="20"/>
              </w:rPr>
              <w:t>Razón del Cambio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restart"/>
            <w:vAlign w:val="center"/>
          </w:tcPr>
          <w:p>
            <w:pPr>
              <w:spacing w:after="0" w:line="240" w:lineRule="auto"/>
              <w:jc w:val="center"/>
              <w:rPr>
                <w:b/>
                <w:sz w:val="20"/>
                <w:szCs w:val="20"/>
              </w:rPr>
            </w:pPr>
            <w:r>
              <w:rPr>
                <w:b/>
                <w:sz w:val="20"/>
                <w:szCs w:val="20"/>
              </w:rPr>
              <w:t>Autor (es)</w:t>
            </w:r>
          </w:p>
        </w:tc>
        <w:tc>
          <w:tcPr>
            <w:tcW w:w="2305" w:type="dxa"/>
          </w:tcPr>
          <w:p>
            <w:pPr>
              <w:spacing w:after="0" w:line="240" w:lineRule="auto"/>
              <w:jc w:val="both"/>
              <w:rPr>
                <w:sz w:val="20"/>
                <w:szCs w:val="20"/>
              </w:rPr>
            </w:pPr>
            <w:r>
              <w:rPr>
                <w:sz w:val="20"/>
                <w:szCs w:val="20"/>
              </w:rPr>
              <w:t>Amparo Sandoval Lasso</w:t>
            </w:r>
          </w:p>
        </w:tc>
        <w:tc>
          <w:tcPr>
            <w:tcW w:w="1223" w:type="dxa"/>
          </w:tcPr>
          <w:p>
            <w:pPr>
              <w:spacing w:after="0" w:line="240" w:lineRule="auto"/>
              <w:jc w:val="both"/>
              <w:rPr>
                <w:sz w:val="20"/>
                <w:szCs w:val="20"/>
              </w:rPr>
            </w:pPr>
            <w:r>
              <w:rPr>
                <w:sz w:val="20"/>
                <w:szCs w:val="20"/>
              </w:rPr>
              <w:t>Asesor</w:t>
            </w:r>
          </w:p>
        </w:tc>
        <w:tc>
          <w:tcPr>
            <w:tcW w:w="2183" w:type="dxa"/>
          </w:tcPr>
          <w:p>
            <w:pPr>
              <w:spacing w:after="0" w:line="240" w:lineRule="auto"/>
              <w:jc w:val="both"/>
              <w:rPr>
                <w:sz w:val="20"/>
                <w:szCs w:val="20"/>
              </w:rPr>
            </w:pPr>
            <w:r>
              <w:rPr>
                <w:sz w:val="20"/>
                <w:szCs w:val="20"/>
              </w:rPr>
              <w:t>Equipo Pedagógico- Sindesena</w:t>
            </w:r>
          </w:p>
        </w:tc>
        <w:tc>
          <w:tcPr>
            <w:tcW w:w="1276" w:type="dxa"/>
          </w:tcPr>
          <w:p>
            <w:pPr>
              <w:spacing w:after="0" w:line="240" w:lineRule="auto"/>
              <w:jc w:val="both"/>
              <w:rPr>
                <w:sz w:val="20"/>
                <w:szCs w:val="20"/>
              </w:rPr>
            </w:pPr>
            <w:r>
              <w:rPr>
                <w:sz w:val="20"/>
                <w:szCs w:val="20"/>
              </w:rPr>
              <w:t>Marzo 2019</w:t>
            </w:r>
          </w:p>
        </w:tc>
        <w:tc>
          <w:tcPr>
            <w:tcW w:w="1525" w:type="dxa"/>
          </w:tcPr>
          <w:p>
            <w:pPr>
              <w:spacing w:after="0" w:line="240" w:lineRule="auto"/>
              <w:jc w:val="both"/>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pPr>
              <w:spacing w:after="0" w:line="240" w:lineRule="auto"/>
              <w:jc w:val="center"/>
              <w:rPr>
                <w:b/>
                <w:sz w:val="20"/>
                <w:szCs w:val="20"/>
              </w:rPr>
            </w:pPr>
          </w:p>
        </w:tc>
        <w:tc>
          <w:tcPr>
            <w:tcW w:w="2305" w:type="dxa"/>
          </w:tcPr>
          <w:p>
            <w:pPr>
              <w:spacing w:after="0" w:line="240" w:lineRule="auto"/>
              <w:jc w:val="both"/>
              <w:rPr>
                <w:sz w:val="20"/>
                <w:szCs w:val="20"/>
              </w:rPr>
            </w:pPr>
            <w:r>
              <w:rPr>
                <w:sz w:val="20"/>
                <w:szCs w:val="20"/>
              </w:rPr>
              <w:t>Aurora Campos</w:t>
            </w:r>
          </w:p>
        </w:tc>
        <w:tc>
          <w:tcPr>
            <w:tcW w:w="1223" w:type="dxa"/>
          </w:tcPr>
          <w:p>
            <w:pPr>
              <w:spacing w:after="0" w:line="240" w:lineRule="auto"/>
              <w:jc w:val="both"/>
              <w:rPr>
                <w:sz w:val="20"/>
                <w:szCs w:val="20"/>
              </w:rPr>
            </w:pPr>
            <w:r>
              <w:rPr>
                <w:sz w:val="20"/>
                <w:szCs w:val="20"/>
              </w:rPr>
              <w:t>Asesor</w:t>
            </w:r>
          </w:p>
        </w:tc>
        <w:tc>
          <w:tcPr>
            <w:tcW w:w="2183" w:type="dxa"/>
          </w:tcPr>
          <w:p>
            <w:pPr>
              <w:spacing w:after="0" w:line="240" w:lineRule="auto"/>
              <w:jc w:val="both"/>
              <w:rPr>
                <w:sz w:val="20"/>
                <w:szCs w:val="20"/>
              </w:rPr>
            </w:pPr>
            <w:r>
              <w:rPr>
                <w:sz w:val="20"/>
                <w:szCs w:val="20"/>
              </w:rPr>
              <w:t>Equipo Pedagógico- Sindesena</w:t>
            </w:r>
          </w:p>
        </w:tc>
        <w:tc>
          <w:tcPr>
            <w:tcW w:w="1276" w:type="dxa"/>
          </w:tcPr>
          <w:p>
            <w:pPr>
              <w:spacing w:after="0" w:line="240" w:lineRule="auto"/>
              <w:jc w:val="both"/>
              <w:rPr>
                <w:sz w:val="20"/>
                <w:szCs w:val="20"/>
              </w:rPr>
            </w:pPr>
            <w:r>
              <w:rPr>
                <w:sz w:val="20"/>
                <w:szCs w:val="20"/>
              </w:rPr>
              <w:t>Marzo 2019</w:t>
            </w:r>
          </w:p>
        </w:tc>
        <w:tc>
          <w:tcPr>
            <w:tcW w:w="1525" w:type="dxa"/>
          </w:tcPr>
          <w:p>
            <w:pPr>
              <w:spacing w:after="0" w:line="240" w:lineRule="auto"/>
              <w:jc w:val="both"/>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pPr>
              <w:spacing w:after="0" w:line="240" w:lineRule="auto"/>
              <w:jc w:val="center"/>
              <w:rPr>
                <w:b/>
                <w:sz w:val="20"/>
                <w:szCs w:val="20"/>
              </w:rPr>
            </w:pPr>
          </w:p>
        </w:tc>
        <w:tc>
          <w:tcPr>
            <w:tcW w:w="2305" w:type="dxa"/>
          </w:tcPr>
          <w:p>
            <w:pPr>
              <w:spacing w:after="0" w:line="240" w:lineRule="auto"/>
              <w:jc w:val="both"/>
              <w:rPr>
                <w:sz w:val="20"/>
                <w:szCs w:val="20"/>
              </w:rPr>
            </w:pPr>
            <w:r>
              <w:rPr>
                <w:sz w:val="20"/>
                <w:szCs w:val="20"/>
              </w:rPr>
              <w:t>Susana Cortés Franco</w:t>
            </w:r>
          </w:p>
        </w:tc>
        <w:tc>
          <w:tcPr>
            <w:tcW w:w="1223" w:type="dxa"/>
          </w:tcPr>
          <w:p>
            <w:pPr>
              <w:spacing w:after="0" w:line="240" w:lineRule="auto"/>
              <w:jc w:val="both"/>
              <w:rPr>
                <w:sz w:val="20"/>
                <w:szCs w:val="20"/>
              </w:rPr>
            </w:pPr>
            <w:r>
              <w:rPr>
                <w:sz w:val="20"/>
                <w:szCs w:val="20"/>
              </w:rPr>
              <w:t>Profesional</w:t>
            </w:r>
          </w:p>
        </w:tc>
        <w:tc>
          <w:tcPr>
            <w:tcW w:w="2183" w:type="dxa"/>
          </w:tcPr>
          <w:p>
            <w:pPr>
              <w:spacing w:after="0" w:line="240" w:lineRule="auto"/>
              <w:jc w:val="both"/>
              <w:rPr>
                <w:sz w:val="20"/>
                <w:szCs w:val="20"/>
              </w:rPr>
            </w:pPr>
            <w:r>
              <w:rPr>
                <w:sz w:val="20"/>
                <w:szCs w:val="20"/>
              </w:rPr>
              <w:t>Regional Amazonas</w:t>
            </w:r>
          </w:p>
        </w:tc>
        <w:tc>
          <w:tcPr>
            <w:tcW w:w="1276" w:type="dxa"/>
          </w:tcPr>
          <w:p>
            <w:pPr>
              <w:spacing w:after="0" w:line="240" w:lineRule="auto"/>
              <w:jc w:val="both"/>
              <w:rPr>
                <w:sz w:val="20"/>
                <w:szCs w:val="20"/>
              </w:rPr>
            </w:pPr>
            <w:r>
              <w:rPr>
                <w:sz w:val="20"/>
                <w:szCs w:val="20"/>
              </w:rPr>
              <w:t>Marzo 2019</w:t>
            </w:r>
          </w:p>
        </w:tc>
        <w:tc>
          <w:tcPr>
            <w:tcW w:w="1525" w:type="dxa"/>
          </w:tcPr>
          <w:p>
            <w:pPr>
              <w:spacing w:after="0" w:line="240" w:lineRule="auto"/>
              <w:jc w:val="both"/>
              <w:rPr>
                <w:sz w:val="20"/>
                <w:szCs w:val="20"/>
              </w:rPr>
            </w:pPr>
            <w:r>
              <w:rPr>
                <w:sz w:val="20"/>
                <w:szCs w:val="20"/>
              </w:rPr>
              <w:t>Ajuste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35" w:type="dxa"/>
            <w:vMerge w:val="continue"/>
            <w:vAlign w:val="center"/>
          </w:tcPr>
          <w:p>
            <w:pPr>
              <w:spacing w:after="0" w:line="240" w:lineRule="auto"/>
              <w:jc w:val="center"/>
              <w:rPr>
                <w:b/>
                <w:sz w:val="20"/>
                <w:szCs w:val="20"/>
              </w:rPr>
            </w:pPr>
          </w:p>
        </w:tc>
        <w:tc>
          <w:tcPr>
            <w:tcW w:w="2305" w:type="dxa"/>
          </w:tcPr>
          <w:p>
            <w:pPr>
              <w:spacing w:after="0" w:line="240" w:lineRule="auto"/>
              <w:jc w:val="center"/>
              <w:rPr>
                <w:sz w:val="20"/>
                <w:szCs w:val="20"/>
              </w:rPr>
            </w:pPr>
            <w:r>
              <w:rPr>
                <w:sz w:val="20"/>
                <w:szCs w:val="20"/>
              </w:rPr>
              <w:t>Herney Arango T.</w:t>
            </w:r>
          </w:p>
          <w:p>
            <w:pPr>
              <w:spacing w:after="0" w:line="240" w:lineRule="auto"/>
              <w:jc w:val="center"/>
              <w:rPr>
                <w:sz w:val="20"/>
                <w:szCs w:val="20"/>
              </w:rPr>
            </w:pPr>
            <w:r>
              <w:rPr>
                <w:sz w:val="20"/>
                <w:szCs w:val="20"/>
              </w:rPr>
              <w:t>Claudia Roncancio P.</w:t>
            </w:r>
          </w:p>
          <w:p>
            <w:pPr>
              <w:spacing w:after="0" w:line="240" w:lineRule="auto"/>
              <w:jc w:val="center"/>
              <w:rPr>
                <w:sz w:val="20"/>
                <w:szCs w:val="20"/>
              </w:rPr>
            </w:pPr>
            <w:r>
              <w:rPr>
                <w:sz w:val="20"/>
                <w:szCs w:val="20"/>
              </w:rPr>
              <w:t>Susana Cortes F.</w:t>
            </w:r>
          </w:p>
          <w:p>
            <w:pPr>
              <w:spacing w:after="0" w:line="240" w:lineRule="auto"/>
              <w:jc w:val="center"/>
              <w:rPr>
                <w:sz w:val="20"/>
                <w:szCs w:val="20"/>
              </w:rPr>
            </w:pPr>
            <w:r>
              <w:rPr>
                <w:sz w:val="20"/>
                <w:szCs w:val="20"/>
              </w:rPr>
              <w:t>Amparo Sandoval</w:t>
            </w:r>
          </w:p>
          <w:p>
            <w:pPr>
              <w:spacing w:after="0" w:line="240" w:lineRule="auto"/>
              <w:jc w:val="center"/>
              <w:rPr>
                <w:sz w:val="20"/>
                <w:szCs w:val="20"/>
              </w:rPr>
            </w:pPr>
            <w:r>
              <w:rPr>
                <w:sz w:val="20"/>
                <w:szCs w:val="20"/>
              </w:rPr>
              <w:t>Gerson Montañez</w:t>
            </w:r>
          </w:p>
        </w:tc>
        <w:tc>
          <w:tcPr>
            <w:tcW w:w="1223" w:type="dxa"/>
          </w:tcPr>
          <w:p>
            <w:pPr>
              <w:spacing w:after="0" w:line="240" w:lineRule="auto"/>
              <w:jc w:val="both"/>
              <w:rPr>
                <w:sz w:val="20"/>
                <w:szCs w:val="20"/>
              </w:rPr>
            </w:pPr>
          </w:p>
        </w:tc>
        <w:tc>
          <w:tcPr>
            <w:tcW w:w="2183" w:type="dxa"/>
          </w:tcPr>
          <w:p>
            <w:pPr>
              <w:spacing w:after="0" w:line="240" w:lineRule="auto"/>
              <w:jc w:val="both"/>
              <w:rPr>
                <w:sz w:val="20"/>
                <w:szCs w:val="20"/>
              </w:rPr>
            </w:pPr>
            <w:r>
              <w:rPr>
                <w:sz w:val="20"/>
                <w:szCs w:val="20"/>
              </w:rPr>
              <w:t>ENI – Equipo Pedagógico SINDESENA</w:t>
            </w:r>
          </w:p>
        </w:tc>
        <w:tc>
          <w:tcPr>
            <w:tcW w:w="1276"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pPr>
              <w:spacing w:after="0" w:line="240" w:lineRule="auto"/>
              <w:jc w:val="center"/>
              <w:rPr>
                <w:sz w:val="20"/>
                <w:szCs w:val="20"/>
              </w:rPr>
            </w:pPr>
            <w:r>
              <w:rPr>
                <w:sz w:val="20"/>
                <w:szCs w:val="20"/>
              </w:rPr>
              <w:t>26/04/2019</w:t>
            </w:r>
          </w:p>
        </w:tc>
        <w:tc>
          <w:tcPr>
            <w:tcW w:w="1525" w:type="dxa"/>
            <w:tcBorders>
              <w:top w:val="single" w:color="000000" w:sz="8" w:space="0"/>
              <w:left w:val="nil"/>
              <w:bottom w:val="single" w:color="000000" w:sz="8" w:space="0"/>
              <w:right w:val="single" w:color="000000" w:sz="8" w:space="0"/>
            </w:tcBorders>
            <w:tcMar>
              <w:top w:w="100" w:type="dxa"/>
              <w:left w:w="100" w:type="dxa"/>
              <w:bottom w:w="100" w:type="dxa"/>
              <w:right w:w="100" w:type="dxa"/>
            </w:tcMar>
          </w:tcPr>
          <w:p>
            <w:pPr>
              <w:spacing w:after="0" w:line="240" w:lineRule="auto"/>
              <w:jc w:val="both"/>
              <w:rPr>
                <w:sz w:val="20"/>
                <w:szCs w:val="20"/>
              </w:rPr>
            </w:pPr>
            <w:r>
              <w:rPr>
                <w:sz w:val="20"/>
                <w:szCs w:val="20"/>
              </w:rPr>
              <w:t>Ajuste desarrollo curricular: análisis pedagógico, guías, instrumentos, material de apoyo</w:t>
            </w:r>
          </w:p>
        </w:tc>
      </w:tr>
    </w:tbl>
    <w:p>
      <w:pPr>
        <w:rPr>
          <w:rFonts w:ascii="Arial" w:hAnsi="Arial" w:cs="Arial"/>
          <w:sz w:val="20"/>
          <w:szCs w:val="20"/>
        </w:rPr>
      </w:pPr>
    </w:p>
    <w:p>
      <w:r>
        <w:t xml:space="preserve">Prueba de conocimientos sobre los mecanismos y entidades  responsables de la protección de los   derechos de los pueblos, del trabajo y de la naturaleza  </w:t>
      </w:r>
    </w:p>
    <w:p>
      <w:r>
        <w:t>PRODUCTO</w:t>
      </w:r>
    </w:p>
    <w:p>
      <w:r>
        <w:t>Fotos, carteles .</w:t>
      </w:r>
    </w:p>
    <w:p>
      <w:r>
        <w:t>Prueba actitudinal relacionada con la solidaridad de los pueblos; la defensa de la naturaleza, el desarrollo sostenible, la seguridad alimentaria.</w:t>
      </w:r>
    </w:p>
    <w:p>
      <w:pPr>
        <w:rPr>
          <w:rFonts w:ascii="Arial" w:hAnsi="Arial" w:cs="Arial"/>
          <w:sz w:val="20"/>
          <w:szCs w:val="20"/>
        </w:rPr>
      </w:pPr>
    </w:p>
    <w:p>
      <w:pPr>
        <w:rPr>
          <w:rFonts w:hint="default" w:ascii="Arial" w:hAnsi="Arial" w:cs="Arial"/>
          <w:sz w:val="20"/>
          <w:szCs w:val="20"/>
          <w:lang w:val="es-MX"/>
        </w:rPr>
      </w:pPr>
      <w:bookmarkStart w:id="1" w:name="_GoBack"/>
      <w:bookmarkEnd w:id="1"/>
    </w:p>
    <w:p>
      <w:pPr>
        <w:spacing w:after="0"/>
        <w:rPr>
          <w:color w:val="000000" w:themeColor="text1"/>
          <w14:textFill>
            <w14:solidFill>
              <w14:schemeClr w14:val="tx1"/>
            </w14:solidFill>
          </w14:textFill>
        </w:rPr>
      </w:pPr>
    </w:p>
    <w:p>
      <w:pPr>
        <w:jc w:val="center"/>
        <w:rPr>
          <w:b/>
          <w:sz w:val="20"/>
          <w:szCs w:val="20"/>
        </w:rPr>
      </w:pPr>
    </w:p>
    <w:p>
      <w:pPr>
        <w:spacing w:after="0" w:line="360" w:lineRule="auto"/>
        <w:rPr>
          <w:rFonts w:cs="Calibri"/>
          <w:color w:val="000000" w:themeColor="text1"/>
          <w14:textFill>
            <w14:solidFill>
              <w14:schemeClr w14:val="tx1"/>
            </w14:solidFill>
          </w14:textFill>
        </w:rPr>
      </w:pPr>
    </w:p>
    <w:sectPr>
      <w:headerReference r:id="rId6" w:type="first"/>
      <w:headerReference r:id="rId5" w:type="default"/>
      <w:footerReference r:id="rId7" w:type="default"/>
      <w:pgSz w:w="12240" w:h="15840"/>
      <w:pgMar w:top="1779" w:right="1041" w:bottom="1418" w:left="156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ucida Grande">
    <w:altName w:val="Courier New"/>
    <w:panose1 w:val="00000000000000000000"/>
    <w:charset w:val="00"/>
    <w:family w:val="auto"/>
    <w:pitch w:val="default"/>
    <w:sig w:usb0="00000000" w:usb1="00000000" w:usb2="00000000" w:usb3="00000000" w:csb0="000001BF" w:csb1="00000000"/>
  </w:font>
  <w:font w:name="Symbol">
    <w:panose1 w:val="05050102010706020507"/>
    <w:charset w:val="02"/>
    <w:family w:val="roman"/>
    <w:pitch w:val="default"/>
    <w:sig w:usb0="00000000" w:usb1="00000000" w:usb2="00000000" w:usb3="00000000" w:csb0="80000000" w:csb1="00000000"/>
  </w:font>
  <w:font w:name="Noto Sans Symbol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color w:val="595959" w:themeColor="text1" w:themeTint="A6"/>
        <w:sz w:val="18"/>
        <w14:textFill>
          <w14:solidFill>
            <w14:schemeClr w14:val="tx1">
              <w14:lumMod w14:val="65000"/>
              <w14:lumOff w14:val="35000"/>
            </w14:schemeClr>
          </w14:solidFill>
        </w14:textFill>
      </w:rPr>
    </w:pPr>
  </w:p>
  <w:p>
    <w:pPr>
      <w:pStyle w:val="11"/>
      <w:jc w:val="center"/>
    </w:pPr>
    <w:r>
      <w:t>GFPI-F-135 V02</w: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lang w:val="es-ES" w:eastAsia="es-ES"/>
      </w:rPr>
      <w:t xml:space="preserve"> </w:t>
    </w:r>
    <w:r>
      <w:rPr>
        <w:lang w:eastAsia="es-CO"/>
      </w:rPr>
      <w:t xml:space="preserve">                                                                                                                      </w:t>
    </w:r>
  </w:p>
  <w:p>
    <w:pPr>
      <w:pStyle w:val="14"/>
      <w:tabs>
        <w:tab w:val="right" w:pos="8413"/>
        <w:tab w:val="clear" w:pos="4419"/>
        <w:tab w:val="clear" w:pos="8838"/>
      </w:tabs>
      <w:jc w:val="center"/>
    </w:pPr>
    <w:r>
      <w:rPr>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lang w:val="es-ES" w:eastAsia="es-ES"/>
      </w:rPr>
    </w:pPr>
  </w:p>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33FEE"/>
    <w:multiLevelType w:val="multilevel"/>
    <w:tmpl w:val="10C33FE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31900EA8"/>
    <w:multiLevelType w:val="multilevel"/>
    <w:tmpl w:val="31900E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5ED6140B"/>
    <w:multiLevelType w:val="multilevel"/>
    <w:tmpl w:val="5ED6140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hideSpellingErrors/>
  <w:hideGrammaticalErrors/>
  <w:attachedTemplate r:id="rId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F2166"/>
    <w:rsid w:val="00117BFB"/>
    <w:rsid w:val="00174851"/>
    <w:rsid w:val="001C508E"/>
    <w:rsid w:val="002D12AD"/>
    <w:rsid w:val="002E0F5A"/>
    <w:rsid w:val="003232D5"/>
    <w:rsid w:val="003B2FA3"/>
    <w:rsid w:val="00400D09"/>
    <w:rsid w:val="00502891"/>
    <w:rsid w:val="005242C6"/>
    <w:rsid w:val="006866E9"/>
    <w:rsid w:val="00763DBE"/>
    <w:rsid w:val="00886060"/>
    <w:rsid w:val="009015A5"/>
    <w:rsid w:val="009D3278"/>
    <w:rsid w:val="00A63563"/>
    <w:rsid w:val="00A92164"/>
    <w:rsid w:val="00B457AB"/>
    <w:rsid w:val="00B53D0D"/>
    <w:rsid w:val="00BB464D"/>
    <w:rsid w:val="00D277E1"/>
    <w:rsid w:val="00E85AFD"/>
    <w:rsid w:val="00FB155A"/>
    <w:rsid w:val="07161B34"/>
    <w:rsid w:val="209F4E11"/>
    <w:rsid w:val="217B28FE"/>
    <w:rsid w:val="26C553A6"/>
    <w:rsid w:val="43C23B61"/>
    <w:rsid w:val="671B3414"/>
  </w:rsids>
  <m:mathPr>
    <m:mathFont m:val="Cambria Math"/>
    <m:brkBin m:val="before"/>
    <m:brkBinSub m:val="--"/>
    <m:smallFrac m:val="0"/>
    <m:dispDef/>
    <m:lMargin m:val="0"/>
    <m:rMargin m:val="0"/>
    <m:defJc m:val="centerGroup"/>
    <m:wrapIndent m:val="1440"/>
    <m:intLim m:val="subSup"/>
    <m:naryLim m:val="undOvr"/>
  </m:mathPr>
  <w:doNotAutoCompressPictures/>
  <w:themeFontLang w:val="es-CO"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qFormat="1"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es-CO" w:eastAsia="en-US" w:bidi="ar-SA"/>
    </w:rPr>
  </w:style>
  <w:style w:type="paragraph" w:styleId="2">
    <w:name w:val="heading 1"/>
    <w:basedOn w:val="1"/>
    <w:next w:val="1"/>
    <w:link w:val="28"/>
    <w:qFormat/>
    <w:uiPriority w:val="9"/>
    <w:pPr>
      <w:spacing w:line="360" w:lineRule="auto"/>
      <w:jc w:val="center"/>
      <w:outlineLvl w:val="0"/>
    </w:pPr>
    <w:rPr>
      <w:rFonts w:cs="Arial"/>
      <w:b/>
      <w:color w:val="262626"/>
      <w:sz w:val="28"/>
      <w:szCs w:val="24"/>
    </w:rPr>
  </w:style>
  <w:style w:type="paragraph" w:styleId="3">
    <w:name w:val="heading 2"/>
    <w:basedOn w:val="1"/>
    <w:next w:val="1"/>
    <w:link w:val="29"/>
    <w:unhideWhenUsed/>
    <w:qFormat/>
    <w:uiPriority w:val="9"/>
    <w:pPr>
      <w:spacing w:line="240" w:lineRule="auto"/>
      <w:jc w:val="center"/>
      <w:outlineLvl w:val="1"/>
    </w:pPr>
    <w:rPr>
      <w:rFonts w:cs="Arial"/>
      <w:color w:val="262626"/>
      <w:szCs w:val="24"/>
    </w:rPr>
  </w:style>
  <w:style w:type="paragraph" w:styleId="4">
    <w:name w:val="heading 3"/>
    <w:basedOn w:val="1"/>
    <w:next w:val="1"/>
    <w:link w:val="38"/>
    <w:unhideWhenUsed/>
    <w:qFormat/>
    <w:uiPriority w:val="9"/>
    <w:pPr>
      <w:keepNext/>
      <w:keepLines/>
      <w:spacing w:before="200" w:after="0"/>
      <w:outlineLvl w:val="2"/>
    </w:pPr>
    <w:rPr>
      <w:rFonts w:asciiTheme="majorHAnsi" w:hAnsiTheme="majorHAnsi" w:eastAsiaTheme="majorEastAsia" w:cstheme="majorBidi"/>
      <w:b/>
      <w:bCs/>
      <w:color w:val="052F61" w:themeColor="accent1"/>
      <w14:textFill>
        <w14:solidFill>
          <w14:schemeClr w14:val="accent1"/>
        </w14:solidFill>
      </w14:textFill>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6"/>
    <w:semiHidden/>
    <w:unhideWhenUsed/>
    <w:uiPriority w:val="99"/>
    <w:pPr>
      <w:spacing w:after="0" w:line="240" w:lineRule="auto"/>
    </w:pPr>
    <w:rPr>
      <w:rFonts w:ascii="Lucida Grande" w:hAnsi="Lucida Grande" w:cs="Lucida Grande"/>
      <w:sz w:val="18"/>
      <w:szCs w:val="18"/>
    </w:rPr>
  </w:style>
  <w:style w:type="character" w:styleId="8">
    <w:name w:val="annotation reference"/>
    <w:basedOn w:val="5"/>
    <w:semiHidden/>
    <w:unhideWhenUsed/>
    <w:qFormat/>
    <w:uiPriority w:val="99"/>
    <w:rPr>
      <w:sz w:val="16"/>
      <w:szCs w:val="16"/>
    </w:rPr>
  </w:style>
  <w:style w:type="paragraph" w:styleId="9">
    <w:name w:val="annotation text"/>
    <w:basedOn w:val="1"/>
    <w:link w:val="34"/>
    <w:semiHidden/>
    <w:unhideWhenUsed/>
    <w:qFormat/>
    <w:uiPriority w:val="99"/>
    <w:pPr>
      <w:spacing w:line="240" w:lineRule="auto"/>
    </w:pPr>
    <w:rPr>
      <w:sz w:val="20"/>
      <w:szCs w:val="20"/>
    </w:rPr>
  </w:style>
  <w:style w:type="paragraph" w:styleId="10">
    <w:name w:val="annotation subject"/>
    <w:basedOn w:val="9"/>
    <w:next w:val="9"/>
    <w:link w:val="35"/>
    <w:semiHidden/>
    <w:unhideWhenUsed/>
    <w:qFormat/>
    <w:uiPriority w:val="99"/>
    <w:rPr>
      <w:b/>
      <w:bCs/>
    </w:rPr>
  </w:style>
  <w:style w:type="paragraph" w:styleId="11">
    <w:name w:val="footer"/>
    <w:basedOn w:val="1"/>
    <w:link w:val="25"/>
    <w:unhideWhenUsed/>
    <w:qFormat/>
    <w:uiPriority w:val="99"/>
    <w:pPr>
      <w:tabs>
        <w:tab w:val="center" w:pos="4419"/>
        <w:tab w:val="right" w:pos="8838"/>
      </w:tabs>
      <w:spacing w:after="0" w:line="240" w:lineRule="auto"/>
    </w:pPr>
  </w:style>
  <w:style w:type="character" w:styleId="12">
    <w:name w:val="footnote reference"/>
    <w:basedOn w:val="5"/>
    <w:semiHidden/>
    <w:unhideWhenUsed/>
    <w:uiPriority w:val="99"/>
    <w:rPr>
      <w:vertAlign w:val="superscript"/>
    </w:rPr>
  </w:style>
  <w:style w:type="paragraph" w:styleId="13">
    <w:name w:val="footnote text"/>
    <w:basedOn w:val="1"/>
    <w:link w:val="39"/>
    <w:semiHidden/>
    <w:unhideWhenUsed/>
    <w:qFormat/>
    <w:uiPriority w:val="99"/>
    <w:pPr>
      <w:spacing w:after="0" w:line="240" w:lineRule="auto"/>
    </w:pPr>
    <w:rPr>
      <w:sz w:val="20"/>
      <w:szCs w:val="20"/>
    </w:rPr>
  </w:style>
  <w:style w:type="paragraph" w:styleId="14">
    <w:name w:val="header"/>
    <w:basedOn w:val="1"/>
    <w:link w:val="24"/>
    <w:unhideWhenUsed/>
    <w:qFormat/>
    <w:uiPriority w:val="0"/>
    <w:pPr>
      <w:tabs>
        <w:tab w:val="center" w:pos="4419"/>
        <w:tab w:val="right" w:pos="8838"/>
      </w:tabs>
      <w:spacing w:after="0" w:line="240" w:lineRule="auto"/>
    </w:pPr>
  </w:style>
  <w:style w:type="character" w:styleId="15">
    <w:name w:val="Hyperlink"/>
    <w:basedOn w:val="5"/>
    <w:unhideWhenUsed/>
    <w:qFormat/>
    <w:uiPriority w:val="99"/>
    <w:rPr>
      <w:color w:val="0D2E46" w:themeColor="hyperlink"/>
      <w:u w:val="single"/>
      <w14:textFill>
        <w14:solidFill>
          <w14:schemeClr w14:val="hlink"/>
        </w14:solidFill>
      </w14:textFill>
    </w:rPr>
  </w:style>
  <w:style w:type="paragraph" w:styleId="16">
    <w:name w:val="Normal (Web)"/>
    <w:basedOn w:val="1"/>
    <w:unhideWhenUsed/>
    <w:qFormat/>
    <w:uiPriority w:val="99"/>
    <w:pPr>
      <w:spacing w:before="100" w:beforeAutospacing="1" w:after="100" w:afterAutospacing="1" w:line="240" w:lineRule="auto"/>
    </w:pPr>
    <w:rPr>
      <w:rFonts w:ascii="Times New Roman" w:hAnsi="Times New Roman" w:eastAsiaTheme="minorEastAsia"/>
      <w:sz w:val="24"/>
      <w:szCs w:val="24"/>
      <w:lang w:eastAsia="es-CO"/>
    </w:rPr>
  </w:style>
  <w:style w:type="character" w:styleId="17">
    <w:name w:val="Strong"/>
    <w:basedOn w:val="5"/>
    <w:qFormat/>
    <w:uiPriority w:val="22"/>
    <w:rPr>
      <w:b/>
      <w:bCs/>
    </w:rPr>
  </w:style>
  <w:style w:type="table" w:styleId="18">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toc 1"/>
    <w:basedOn w:val="1"/>
    <w:next w:val="1"/>
    <w:unhideWhenUsed/>
    <w:qFormat/>
    <w:uiPriority w:val="39"/>
    <w:pPr>
      <w:spacing w:after="100"/>
    </w:pPr>
  </w:style>
  <w:style w:type="paragraph" w:styleId="20">
    <w:name w:val="toc 2"/>
    <w:basedOn w:val="1"/>
    <w:next w:val="1"/>
    <w:unhideWhenUsed/>
    <w:qFormat/>
    <w:uiPriority w:val="39"/>
    <w:pPr>
      <w:spacing w:after="100"/>
      <w:ind w:left="220"/>
    </w:pPr>
  </w:style>
  <w:style w:type="paragraph" w:styleId="21">
    <w:name w:val="toc 3"/>
    <w:basedOn w:val="1"/>
    <w:next w:val="1"/>
    <w:unhideWhenUsed/>
    <w:qFormat/>
    <w:uiPriority w:val="39"/>
    <w:pPr>
      <w:spacing w:after="100"/>
      <w:ind w:left="440"/>
    </w:pPr>
  </w:style>
  <w:style w:type="table" w:styleId="22">
    <w:name w:val="Light Grid Accent 3"/>
    <w:basedOn w:val="6"/>
    <w:qFormat/>
    <w:uiPriority w:val="62"/>
    <w:tblPr>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sz="8" w:space="0"/>
        </w:tcBorders>
      </w:tcPr>
    </w:tblStylePr>
  </w:style>
  <w:style w:type="paragraph" w:customStyle="1" w:styleId="23">
    <w:name w:val="Lista multicolor - Énfasis 11"/>
    <w:basedOn w:val="1"/>
    <w:qFormat/>
    <w:uiPriority w:val="34"/>
    <w:pPr>
      <w:ind w:left="720"/>
      <w:contextualSpacing/>
    </w:pPr>
  </w:style>
  <w:style w:type="character" w:customStyle="1" w:styleId="24">
    <w:name w:val="Encabezado Car"/>
    <w:basedOn w:val="5"/>
    <w:link w:val="14"/>
    <w:qFormat/>
    <w:uiPriority w:val="99"/>
  </w:style>
  <w:style w:type="character" w:customStyle="1" w:styleId="25">
    <w:name w:val="Pie de página Car"/>
    <w:basedOn w:val="5"/>
    <w:link w:val="11"/>
    <w:qFormat/>
    <w:uiPriority w:val="99"/>
  </w:style>
  <w:style w:type="character" w:customStyle="1" w:styleId="26">
    <w:name w:val="Texto de globo Car"/>
    <w:link w:val="7"/>
    <w:semiHidden/>
    <w:qFormat/>
    <w:uiPriority w:val="99"/>
    <w:rPr>
      <w:rFonts w:ascii="Lucida Grande" w:hAnsi="Lucida Grande" w:cs="Lucida Grande"/>
      <w:sz w:val="18"/>
      <w:szCs w:val="18"/>
    </w:rPr>
  </w:style>
  <w:style w:type="character" w:customStyle="1" w:styleId="27">
    <w:name w:val="Encabezado Car1"/>
    <w:qFormat/>
    <w:uiPriority w:val="0"/>
    <w:rPr>
      <w:rFonts w:ascii="Calibri" w:hAnsi="Calibri" w:eastAsia="Calibri"/>
      <w:sz w:val="22"/>
      <w:szCs w:val="22"/>
      <w:lang w:eastAsia="ar-SA"/>
    </w:rPr>
  </w:style>
  <w:style w:type="character" w:customStyle="1" w:styleId="28">
    <w:name w:val="Título 1 Car"/>
    <w:link w:val="2"/>
    <w:qFormat/>
    <w:uiPriority w:val="9"/>
    <w:rPr>
      <w:rFonts w:cs="Arial"/>
      <w:b/>
      <w:color w:val="262626"/>
      <w:sz w:val="28"/>
      <w:szCs w:val="24"/>
      <w:lang w:eastAsia="en-US"/>
    </w:rPr>
  </w:style>
  <w:style w:type="character" w:customStyle="1" w:styleId="29">
    <w:name w:val="Título 2 Car"/>
    <w:link w:val="3"/>
    <w:qFormat/>
    <w:uiPriority w:val="9"/>
    <w:rPr>
      <w:rFonts w:cs="Arial"/>
      <w:color w:val="262626"/>
      <w:sz w:val="22"/>
      <w:szCs w:val="24"/>
      <w:lang w:eastAsia="en-US"/>
    </w:rPr>
  </w:style>
  <w:style w:type="paragraph" w:styleId="30">
    <w:name w:val="List Paragraph"/>
    <w:basedOn w:val="1"/>
    <w:link w:val="31"/>
    <w:qFormat/>
    <w:uiPriority w:val="34"/>
    <w:pPr>
      <w:ind w:left="720"/>
      <w:contextualSpacing/>
    </w:pPr>
    <w:rPr>
      <w:rFonts w:asciiTheme="minorHAnsi" w:hAnsiTheme="minorHAnsi" w:eastAsiaTheme="minorHAnsi" w:cstheme="minorBidi"/>
    </w:rPr>
  </w:style>
  <w:style w:type="character" w:customStyle="1" w:styleId="31">
    <w:name w:val="Párrafo de lista Car"/>
    <w:link w:val="30"/>
    <w:qFormat/>
    <w:uiPriority w:val="34"/>
    <w:rPr>
      <w:rFonts w:asciiTheme="minorHAnsi" w:hAnsiTheme="minorHAnsi" w:eastAsiaTheme="minorHAnsi" w:cstheme="minorBidi"/>
      <w:sz w:val="22"/>
      <w:szCs w:val="22"/>
      <w:lang w:eastAsia="en-US"/>
    </w:rPr>
  </w:style>
  <w:style w:type="paragraph" w:customStyle="1" w:styleId="32">
    <w:name w:val="TOC Heading"/>
    <w:basedOn w:val="2"/>
    <w:next w:val="1"/>
    <w:unhideWhenUsed/>
    <w:qFormat/>
    <w:uiPriority w:val="39"/>
    <w:pPr>
      <w:keepNext/>
      <w:keepLines/>
      <w:spacing w:before="240" w:after="0" w:line="259" w:lineRule="auto"/>
      <w:jc w:val="left"/>
      <w:outlineLvl w:val="9"/>
    </w:pPr>
    <w:rPr>
      <w:rFonts w:asciiTheme="majorHAnsi" w:hAnsiTheme="majorHAnsi" w:eastAsiaTheme="majorEastAsia" w:cstheme="majorBidi"/>
      <w:b w:val="0"/>
      <w:color w:val="042349" w:themeColor="accent1" w:themeShade="BF"/>
      <w:sz w:val="32"/>
      <w:szCs w:val="32"/>
      <w:lang w:eastAsia="es-CO"/>
    </w:rPr>
  </w:style>
  <w:style w:type="table" w:customStyle="1" w:styleId="33">
    <w:name w:val="Tabla de cuadrícula 4 - Énfasis 11"/>
    <w:basedOn w:val="6"/>
    <w:qFormat/>
    <w:uiPriority w:val="49"/>
    <w:tblPr>
      <w:tblBorders>
        <w:top w:val="single" w:color="167AF2" w:themeColor="accent1" w:themeTint="99" w:sz="4" w:space="0"/>
        <w:left w:val="single" w:color="167AF2" w:themeColor="accent1" w:themeTint="99" w:sz="4" w:space="0"/>
        <w:bottom w:val="single" w:color="167AF2" w:themeColor="accent1" w:themeTint="99" w:sz="4" w:space="0"/>
        <w:right w:val="single" w:color="167AF2" w:themeColor="accent1" w:themeTint="99" w:sz="4" w:space="0"/>
        <w:insideH w:val="single" w:color="167AF2" w:themeColor="accent1" w:themeTint="99" w:sz="4" w:space="0"/>
        <w:insideV w:val="single" w:color="167AF2" w:themeColor="accent1" w:themeTint="99" w:sz="4" w:space="0"/>
      </w:tblBorders>
    </w:tblPr>
    <w:tblStylePr w:type="firstRow">
      <w:rPr>
        <w:b/>
        <w:bCs/>
        <w:color w:val="FFFFFF" w:themeColor="background1"/>
        <w14:textFill>
          <w14:solidFill>
            <w14:schemeClr w14:val="bg1"/>
          </w14:solidFill>
        </w14:textFill>
      </w:r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cPr>
        <w:tcBorders>
          <w:top w:val="double" w:color="052F61" w:themeColor="accent1" w:sz="4" w:space="0"/>
        </w:tcBorders>
      </w:tcPr>
    </w:tblStylePr>
    <w:tblStylePr w:type="firstCol">
      <w:rPr>
        <w:b/>
        <w:bCs/>
      </w:rPr>
    </w:tblStylePr>
    <w:tblStylePr w:type="lastCol">
      <w:rPr>
        <w:b/>
        <w:bCs/>
      </w:rPr>
    </w:tblStylePr>
    <w:tblStylePr w:type="band1Vert">
      <w:tcPr>
        <w:shd w:val="clear" w:color="auto" w:fill="B1D2FA" w:themeFill="accent1" w:themeFillTint="33"/>
      </w:tcPr>
    </w:tblStylePr>
    <w:tblStylePr w:type="band1Horz">
      <w:tcPr>
        <w:shd w:val="clear" w:color="auto" w:fill="B1D2FA" w:themeFill="accent1" w:themeFillTint="33"/>
      </w:tcPr>
    </w:tblStylePr>
  </w:style>
  <w:style w:type="character" w:customStyle="1" w:styleId="34">
    <w:name w:val="Texto comentario Car"/>
    <w:basedOn w:val="5"/>
    <w:link w:val="9"/>
    <w:semiHidden/>
    <w:qFormat/>
    <w:uiPriority w:val="99"/>
    <w:rPr>
      <w:lang w:eastAsia="en-US"/>
    </w:rPr>
  </w:style>
  <w:style w:type="character" w:customStyle="1" w:styleId="35">
    <w:name w:val="Asunto del comentario Car"/>
    <w:basedOn w:val="34"/>
    <w:link w:val="10"/>
    <w:semiHidden/>
    <w:qFormat/>
    <w:uiPriority w:val="99"/>
    <w:rPr>
      <w:b/>
      <w:bCs/>
      <w:lang w:eastAsia="en-US"/>
    </w:rPr>
  </w:style>
  <w:style w:type="paragraph" w:styleId="36">
    <w:name w:val="No Spacing"/>
    <w:link w:val="37"/>
    <w:qFormat/>
    <w:uiPriority w:val="1"/>
    <w:rPr>
      <w:rFonts w:asciiTheme="minorHAnsi" w:hAnsiTheme="minorHAnsi" w:eastAsiaTheme="minorEastAsia" w:cstheme="minorBidi"/>
      <w:sz w:val="22"/>
      <w:szCs w:val="22"/>
      <w:lang w:val="es-CO" w:eastAsia="es-CO" w:bidi="ar-SA"/>
    </w:rPr>
  </w:style>
  <w:style w:type="character" w:customStyle="1" w:styleId="37">
    <w:name w:val="Sin espaciado Car"/>
    <w:basedOn w:val="5"/>
    <w:link w:val="36"/>
    <w:qFormat/>
    <w:uiPriority w:val="1"/>
    <w:rPr>
      <w:rFonts w:asciiTheme="minorHAnsi" w:hAnsiTheme="minorHAnsi" w:eastAsiaTheme="minorEastAsia" w:cstheme="minorBidi"/>
      <w:sz w:val="22"/>
      <w:szCs w:val="22"/>
      <w:lang w:eastAsia="es-CO"/>
    </w:rPr>
  </w:style>
  <w:style w:type="character" w:customStyle="1" w:styleId="38">
    <w:name w:val="Título 3 Car"/>
    <w:basedOn w:val="5"/>
    <w:link w:val="4"/>
    <w:qFormat/>
    <w:uiPriority w:val="9"/>
    <w:rPr>
      <w:rFonts w:asciiTheme="majorHAnsi" w:hAnsiTheme="majorHAnsi" w:eastAsiaTheme="majorEastAsia" w:cstheme="majorBidi"/>
      <w:b/>
      <w:bCs/>
      <w:color w:val="052F61" w:themeColor="accent1"/>
      <w:sz w:val="22"/>
      <w:szCs w:val="22"/>
      <w:lang w:eastAsia="en-US"/>
      <w14:textFill>
        <w14:solidFill>
          <w14:schemeClr w14:val="accent1"/>
        </w14:solidFill>
      </w14:textFill>
    </w:rPr>
  </w:style>
  <w:style w:type="character" w:customStyle="1" w:styleId="39">
    <w:name w:val="Texto nota pie Car"/>
    <w:basedOn w:val="5"/>
    <w:link w:val="13"/>
    <w:semiHidden/>
    <w:qFormat/>
    <w:uiPriority w:val="99"/>
    <w:rPr>
      <w:lang w:eastAsia="en-US"/>
    </w:rPr>
  </w:style>
  <w:style w:type="paragraph" w:customStyle="1" w:styleId="40">
    <w:name w:val="Default"/>
    <w:qFormat/>
    <w:uiPriority w:val="0"/>
    <w:pPr>
      <w:autoSpaceDE w:val="0"/>
      <w:autoSpaceDN w:val="0"/>
      <w:adjustRightInd w:val="0"/>
    </w:pPr>
    <w:rPr>
      <w:rFonts w:ascii="Times New Roman" w:hAnsi="Times New Roman" w:eastAsia="Calibri" w:cs="Times New Roman"/>
      <w:color w:val="000000"/>
      <w:sz w:val="24"/>
      <w:szCs w:val="24"/>
      <w:lang w:val="es-CO" w:eastAsia="es-ES" w:bidi="ar-SA"/>
    </w:rPr>
  </w:style>
  <w:style w:type="character" w:customStyle="1" w:styleId="41">
    <w:name w:val="apple-converted-space"/>
    <w:basedOn w:val="5"/>
    <w:qFormat/>
    <w:uiPriority w:val="0"/>
  </w:style>
  <w:style w:type="paragraph" w:customStyle="1" w:styleId="42">
    <w:name w:val="HTML Top of Form"/>
    <w:basedOn w:val="1"/>
    <w:next w:val="1"/>
    <w:link w:val="43"/>
    <w:semiHidden/>
    <w:unhideWhenUsed/>
    <w:qFormat/>
    <w:uiPriority w:val="99"/>
    <w:pPr>
      <w:pBdr>
        <w:bottom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3">
    <w:name w:val="z-Principio del formulario Car"/>
    <w:basedOn w:val="5"/>
    <w:link w:val="42"/>
    <w:semiHidden/>
    <w:qFormat/>
    <w:uiPriority w:val="99"/>
    <w:rPr>
      <w:rFonts w:ascii="Arial" w:hAnsi="Arial" w:eastAsia="Times New Roman" w:cs="Arial"/>
      <w:vanish/>
      <w:sz w:val="16"/>
      <w:szCs w:val="16"/>
      <w:lang w:eastAsia="es-CO"/>
    </w:rPr>
  </w:style>
  <w:style w:type="paragraph" w:customStyle="1" w:styleId="44">
    <w:name w:val="HTML Bottom of Form"/>
    <w:basedOn w:val="1"/>
    <w:next w:val="1"/>
    <w:link w:val="45"/>
    <w:semiHidden/>
    <w:unhideWhenUsed/>
    <w:qFormat/>
    <w:uiPriority w:val="99"/>
    <w:pPr>
      <w:pBdr>
        <w:top w:val="single" w:color="auto" w:sz="6" w:space="1"/>
      </w:pBdr>
      <w:spacing w:after="0" w:line="240" w:lineRule="auto"/>
      <w:jc w:val="center"/>
    </w:pPr>
    <w:rPr>
      <w:rFonts w:ascii="Arial" w:hAnsi="Arial" w:eastAsia="Times New Roman" w:cs="Arial"/>
      <w:vanish/>
      <w:sz w:val="16"/>
      <w:szCs w:val="16"/>
      <w:lang w:eastAsia="es-CO"/>
    </w:rPr>
  </w:style>
  <w:style w:type="character" w:customStyle="1" w:styleId="45">
    <w:name w:val="z-Final del formulario Car"/>
    <w:basedOn w:val="5"/>
    <w:link w:val="44"/>
    <w:semiHidden/>
    <w:qFormat/>
    <w:uiPriority w:val="99"/>
    <w:rPr>
      <w:rFonts w:ascii="Arial" w:hAnsi="Arial" w:eastAsia="Times New Roman" w:cs="Arial"/>
      <w:vanish/>
      <w:sz w:val="16"/>
      <w:szCs w:val="16"/>
      <w:lang w:eastAsia="es-CO"/>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datastoreItem>
</file>

<file path=docProps/app.xml><?xml version="1.0" encoding="utf-8"?>
<Properties xmlns="http://schemas.openxmlformats.org/officeDocument/2006/extended-properties" xmlns:vt="http://schemas.openxmlformats.org/officeDocument/2006/docPropsVTypes">
  <Template>Formato_word-SENA-GC-F-005-V1</Template>
  <Company>Toshiba</Company>
  <Pages>2</Pages>
  <Words>289</Words>
  <Characters>1592</Characters>
  <Lines>13</Lines>
  <Paragraphs>3</Paragraphs>
  <TotalTime>0</TotalTime>
  <ScaleCrop>false</ScaleCrop>
  <LinksUpToDate>false</LinksUpToDate>
  <CharactersWithSpaces>1878</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2023-05-11T23:49:00Z</dcterms:created>
  <dc:creator>ASTRID SUAREZ</dc:creator>
  <cp:lastModifiedBy>Userr</cp:lastModifiedBy>
  <cp:lastPrinted>2016-06-08T15:42:00Z</cp:lastPrinted>
  <dcterms:modified xsi:type="dcterms:W3CDTF">2023-07-15T03:05:16Z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1033-11.2.0.11537</vt:lpwstr>
  </property>
  <property fmtid="{D5CDD505-2E9C-101B-9397-08002B2CF9AE}" pid="10" name="ICV">
    <vt:lpwstr>8AB3714B55D2444685D683AE629D8F27</vt:lpwstr>
  </property>
</Properties>
</file>